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0" w:rsidRDefault="000900B0" w:rsidP="00287E0B">
      <w:pPr>
        <w:pStyle w:val="af"/>
        <w:ind w:hanging="360"/>
        <w:jc w:val="both"/>
        <w:rPr>
          <w:b/>
        </w:rPr>
      </w:pPr>
      <w:r>
        <w:rPr>
          <w:b/>
        </w:rPr>
        <w:t xml:space="preserve">                                                     Информация</w:t>
      </w:r>
    </w:p>
    <w:p w:rsidR="00287E0B" w:rsidRPr="00EC40FB" w:rsidRDefault="00F17FE3" w:rsidP="00287E0B">
      <w:pPr>
        <w:pStyle w:val="af"/>
        <w:ind w:hanging="360"/>
        <w:jc w:val="both"/>
        <w:rPr>
          <w:b/>
          <w:bCs/>
        </w:rPr>
      </w:pPr>
      <w:r>
        <w:rPr>
          <w:b/>
        </w:rPr>
        <w:t xml:space="preserve">     </w:t>
      </w:r>
      <w:r w:rsidR="000900B0">
        <w:rPr>
          <w:b/>
        </w:rPr>
        <w:t xml:space="preserve">о результатах </w:t>
      </w:r>
      <w:r w:rsidR="000A53A1">
        <w:rPr>
          <w:b/>
        </w:rPr>
        <w:t>контрольного мероприятия «</w:t>
      </w:r>
      <w:r w:rsidR="000A53A1">
        <w:rPr>
          <w:b/>
          <w:bCs/>
        </w:rPr>
        <w:t>Ф</w:t>
      </w:r>
      <w:r w:rsidR="00287E0B" w:rsidRPr="00EC40FB">
        <w:rPr>
          <w:b/>
          <w:bCs/>
        </w:rPr>
        <w:t>инансов</w:t>
      </w:r>
      <w:r w:rsidR="000A53A1">
        <w:rPr>
          <w:b/>
          <w:bCs/>
        </w:rPr>
        <w:t>ый</w:t>
      </w:r>
      <w:r w:rsidR="00287E0B">
        <w:rPr>
          <w:b/>
          <w:bCs/>
        </w:rPr>
        <w:t xml:space="preserve"> аудит</w:t>
      </w:r>
      <w:bookmarkStart w:id="0" w:name="_GoBack"/>
      <w:bookmarkEnd w:id="0"/>
      <w:r w:rsidR="00287E0B">
        <w:rPr>
          <w:b/>
          <w:bCs/>
        </w:rPr>
        <w:t xml:space="preserve"> </w:t>
      </w:r>
      <w:r w:rsidR="00287E0B" w:rsidRPr="00EC40FB">
        <w:rPr>
          <w:b/>
          <w:bCs/>
        </w:rPr>
        <w:t xml:space="preserve"> </w:t>
      </w:r>
      <w:r w:rsidR="00287E0B">
        <w:rPr>
          <w:b/>
          <w:bCs/>
        </w:rPr>
        <w:t xml:space="preserve">в </w:t>
      </w:r>
      <w:r w:rsidR="00287E0B" w:rsidRPr="00EC40FB">
        <w:rPr>
          <w:b/>
          <w:bCs/>
        </w:rPr>
        <w:t>муниципально</w:t>
      </w:r>
      <w:r w:rsidR="00287E0B">
        <w:rPr>
          <w:b/>
          <w:bCs/>
        </w:rPr>
        <w:t xml:space="preserve">м </w:t>
      </w:r>
      <w:r w:rsidR="00287E0B" w:rsidRPr="00EC40FB">
        <w:rPr>
          <w:b/>
          <w:bCs/>
        </w:rPr>
        <w:t xml:space="preserve"> </w:t>
      </w:r>
      <w:r w:rsidR="00287E0B">
        <w:rPr>
          <w:b/>
          <w:bCs/>
        </w:rPr>
        <w:t xml:space="preserve">дошкольном </w:t>
      </w:r>
      <w:r w:rsidR="00287E0B" w:rsidRPr="00EC40FB">
        <w:rPr>
          <w:b/>
          <w:bCs/>
        </w:rPr>
        <w:t>образовательно</w:t>
      </w:r>
      <w:r w:rsidR="00287E0B">
        <w:rPr>
          <w:b/>
          <w:bCs/>
        </w:rPr>
        <w:t>м</w:t>
      </w:r>
      <w:r w:rsidR="00287E0B" w:rsidRPr="00EC40FB">
        <w:rPr>
          <w:b/>
          <w:bCs/>
        </w:rPr>
        <w:t xml:space="preserve"> учреждени</w:t>
      </w:r>
      <w:r w:rsidR="00287E0B">
        <w:rPr>
          <w:b/>
          <w:bCs/>
        </w:rPr>
        <w:t>и</w:t>
      </w:r>
      <w:r w:rsidR="00287E0B" w:rsidRPr="00EC40FB">
        <w:rPr>
          <w:b/>
          <w:bCs/>
        </w:rPr>
        <w:t xml:space="preserve"> </w:t>
      </w:r>
      <w:proofErr w:type="spellStart"/>
      <w:r w:rsidR="00287E0B">
        <w:rPr>
          <w:b/>
          <w:bCs/>
        </w:rPr>
        <w:t>Ахинский</w:t>
      </w:r>
      <w:proofErr w:type="spellEnd"/>
      <w:r w:rsidR="00287E0B">
        <w:rPr>
          <w:b/>
          <w:bCs/>
        </w:rPr>
        <w:t xml:space="preserve"> детский сад № 32»</w:t>
      </w:r>
      <w:r w:rsidR="00287E0B" w:rsidRPr="00EC40FB">
        <w:rPr>
          <w:b/>
          <w:bCs/>
        </w:rPr>
        <w:t>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4E7EBF">
        <w:rPr>
          <w:spacing w:val="-2"/>
          <w:sz w:val="28"/>
          <w:szCs w:val="28"/>
        </w:rPr>
        <w:t>20</w:t>
      </w:r>
      <w:r w:rsidRPr="00F72FA3">
        <w:rPr>
          <w:spacing w:val="-2"/>
          <w:sz w:val="28"/>
          <w:szCs w:val="28"/>
        </w:rPr>
        <w:t xml:space="preserve">» </w:t>
      </w:r>
      <w:r w:rsidR="00287E0B">
        <w:rPr>
          <w:spacing w:val="-2"/>
          <w:sz w:val="28"/>
          <w:szCs w:val="28"/>
        </w:rPr>
        <w:t>ноября</w:t>
      </w:r>
      <w:r w:rsidR="00F17FE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F17FE3">
        <w:rPr>
          <w:spacing w:val="-2"/>
          <w:sz w:val="28"/>
          <w:szCs w:val="28"/>
        </w:rPr>
        <w:t>7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F72FA3" w:rsidRDefault="007C3C57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F17FE3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>на основании распоряжения</w:t>
      </w:r>
      <w:r w:rsidR="00F17FE3">
        <w:rPr>
          <w:color w:val="000000"/>
          <w:sz w:val="28"/>
          <w:szCs w:val="28"/>
        </w:rPr>
        <w:t xml:space="preserve"> </w:t>
      </w:r>
      <w:r w:rsidR="003E1671" w:rsidRPr="00F72FA3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>
        <w:rPr>
          <w:color w:val="000000"/>
          <w:sz w:val="28"/>
          <w:szCs w:val="28"/>
        </w:rPr>
        <w:t xml:space="preserve"> </w:t>
      </w:r>
      <w:r w:rsidR="00857379" w:rsidRPr="00F72FA3">
        <w:rPr>
          <w:color w:val="000000"/>
          <w:sz w:val="28"/>
          <w:szCs w:val="28"/>
        </w:rPr>
        <w:t>от</w:t>
      </w:r>
      <w:r w:rsidR="003E350A">
        <w:rPr>
          <w:color w:val="000000"/>
          <w:sz w:val="28"/>
          <w:szCs w:val="28"/>
        </w:rPr>
        <w:t xml:space="preserve"> </w:t>
      </w:r>
      <w:r w:rsidR="00287E0B">
        <w:rPr>
          <w:color w:val="000000"/>
          <w:sz w:val="28"/>
          <w:szCs w:val="28"/>
        </w:rPr>
        <w:t>25</w:t>
      </w:r>
      <w:r w:rsidR="003E350A">
        <w:rPr>
          <w:color w:val="000000"/>
          <w:sz w:val="28"/>
          <w:szCs w:val="28"/>
        </w:rPr>
        <w:t>.0</w:t>
      </w:r>
      <w:r w:rsidR="00287E0B">
        <w:rPr>
          <w:color w:val="000000"/>
          <w:sz w:val="28"/>
          <w:szCs w:val="28"/>
        </w:rPr>
        <w:t>9</w:t>
      </w:r>
      <w:r w:rsidR="00857379" w:rsidRPr="00F72FA3">
        <w:rPr>
          <w:color w:val="000000"/>
          <w:sz w:val="28"/>
          <w:szCs w:val="28"/>
        </w:rPr>
        <w:t>.201</w:t>
      </w:r>
      <w:r w:rsidR="00CE2D47">
        <w:rPr>
          <w:color w:val="000000"/>
          <w:sz w:val="28"/>
          <w:szCs w:val="28"/>
        </w:rPr>
        <w:t>7</w:t>
      </w:r>
      <w:r w:rsidR="00857379" w:rsidRPr="00F72FA3">
        <w:rPr>
          <w:color w:val="000000"/>
          <w:sz w:val="28"/>
          <w:szCs w:val="28"/>
        </w:rPr>
        <w:t xml:space="preserve"> №</w:t>
      </w:r>
      <w:r w:rsidR="003E350A">
        <w:rPr>
          <w:color w:val="000000"/>
          <w:sz w:val="28"/>
          <w:szCs w:val="28"/>
        </w:rPr>
        <w:t xml:space="preserve"> </w:t>
      </w:r>
      <w:r w:rsidR="00CE2D47">
        <w:rPr>
          <w:color w:val="000000"/>
          <w:sz w:val="28"/>
          <w:szCs w:val="28"/>
        </w:rPr>
        <w:t>1</w:t>
      </w:r>
      <w:r w:rsidR="00287E0B">
        <w:rPr>
          <w:color w:val="000000"/>
          <w:sz w:val="28"/>
          <w:szCs w:val="28"/>
        </w:rPr>
        <w:t>5</w:t>
      </w:r>
      <w:r w:rsidR="00E83E29">
        <w:rPr>
          <w:color w:val="000000"/>
          <w:sz w:val="28"/>
          <w:szCs w:val="28"/>
        </w:rPr>
        <w:t>.</w:t>
      </w:r>
      <w:r w:rsidR="00B16789" w:rsidRPr="00F72FA3">
        <w:rPr>
          <w:sz w:val="28"/>
          <w:szCs w:val="28"/>
        </w:rPr>
        <w:t xml:space="preserve"> </w:t>
      </w:r>
    </w:p>
    <w:p w:rsidR="009658E3" w:rsidRPr="00E80B93" w:rsidRDefault="0030642E" w:rsidP="00035BCC">
      <w:pPr>
        <w:shd w:val="clear" w:color="auto" w:fill="FFFFFF"/>
        <w:tabs>
          <w:tab w:val="left" w:pos="0"/>
          <w:tab w:val="left" w:pos="709"/>
          <w:tab w:val="left" w:leader="underscore" w:pos="9182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658E3">
        <w:rPr>
          <w:b/>
          <w:color w:val="000000"/>
          <w:sz w:val="28"/>
          <w:szCs w:val="28"/>
        </w:rPr>
        <w:t xml:space="preserve">        </w:t>
      </w:r>
      <w:r w:rsidR="00035BCC">
        <w:rPr>
          <w:b/>
          <w:color w:val="000000"/>
          <w:sz w:val="28"/>
          <w:szCs w:val="28"/>
        </w:rPr>
        <w:t xml:space="preserve">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</w:t>
      </w:r>
      <w:r w:rsidR="00857379" w:rsidRPr="0030642E">
        <w:rPr>
          <w:b/>
          <w:color w:val="000000"/>
          <w:sz w:val="28"/>
          <w:szCs w:val="28"/>
        </w:rPr>
        <w:t>:</w:t>
      </w:r>
      <w:r w:rsidR="00607CCB">
        <w:rPr>
          <w:b/>
          <w:color w:val="000000"/>
          <w:sz w:val="28"/>
          <w:szCs w:val="28"/>
        </w:rPr>
        <w:t xml:space="preserve"> </w:t>
      </w:r>
      <w:r w:rsidR="009658E3">
        <w:rPr>
          <w:color w:val="000000"/>
          <w:sz w:val="28"/>
          <w:szCs w:val="28"/>
        </w:rPr>
        <w:t>У</w:t>
      </w:r>
      <w:r w:rsidR="009658E3"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9658E3">
        <w:rPr>
          <w:color w:val="000000"/>
          <w:sz w:val="28"/>
          <w:szCs w:val="28"/>
        </w:rPr>
        <w:t xml:space="preserve">2015-2016годы, </w:t>
      </w:r>
      <w:r w:rsidR="009658E3" w:rsidRPr="00E80B93">
        <w:rPr>
          <w:color w:val="000000"/>
          <w:sz w:val="28"/>
          <w:szCs w:val="28"/>
        </w:rPr>
        <w:t>нормативно-правовые акты и иные распорядительные документы, определяющие деятельность М</w:t>
      </w:r>
      <w:r w:rsidR="009658E3">
        <w:rPr>
          <w:color w:val="000000"/>
          <w:sz w:val="28"/>
          <w:szCs w:val="28"/>
        </w:rPr>
        <w:t>Д</w:t>
      </w:r>
      <w:r w:rsidR="009658E3" w:rsidRPr="00E80B93">
        <w:rPr>
          <w:color w:val="000000"/>
          <w:sz w:val="28"/>
          <w:szCs w:val="28"/>
        </w:rPr>
        <w:t xml:space="preserve">ОУ </w:t>
      </w:r>
      <w:proofErr w:type="spellStart"/>
      <w:r w:rsidR="006E3FC0">
        <w:rPr>
          <w:color w:val="000000"/>
          <w:sz w:val="28"/>
          <w:szCs w:val="28"/>
        </w:rPr>
        <w:t>Ахинский</w:t>
      </w:r>
      <w:proofErr w:type="spellEnd"/>
      <w:r w:rsidR="006E3FC0">
        <w:rPr>
          <w:color w:val="000000"/>
          <w:sz w:val="28"/>
          <w:szCs w:val="28"/>
        </w:rPr>
        <w:t xml:space="preserve"> </w:t>
      </w:r>
      <w:r w:rsidR="009658E3">
        <w:rPr>
          <w:color w:val="000000"/>
          <w:sz w:val="28"/>
          <w:szCs w:val="28"/>
        </w:rPr>
        <w:t>детский сад №</w:t>
      </w:r>
      <w:r w:rsidR="006E3FC0">
        <w:rPr>
          <w:color w:val="000000"/>
          <w:sz w:val="28"/>
          <w:szCs w:val="28"/>
        </w:rPr>
        <w:t>32</w:t>
      </w:r>
      <w:r w:rsidR="009658E3" w:rsidRPr="00E80B93">
        <w:rPr>
          <w:color w:val="000000"/>
          <w:sz w:val="28"/>
          <w:szCs w:val="28"/>
        </w:rPr>
        <w:t xml:space="preserve">, </w:t>
      </w:r>
      <w:r w:rsidR="009658E3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9658E3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9658E3" w:rsidRPr="00E80B93">
        <w:rPr>
          <w:sz w:val="28"/>
          <w:szCs w:val="28"/>
        </w:rPr>
        <w:t xml:space="preserve"> </w:t>
      </w:r>
    </w:p>
    <w:p w:rsidR="00B16789" w:rsidRDefault="00586B76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6E3FC0" w:rsidRPr="00F72FA3" w:rsidRDefault="006E3FC0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z w:val="28"/>
          <w:szCs w:val="28"/>
        </w:rPr>
      </w:pPr>
      <w:r w:rsidRPr="004F30FA">
        <w:rPr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4F30FA">
        <w:rPr>
          <w:sz w:val="28"/>
          <w:szCs w:val="28"/>
        </w:rPr>
        <w:t>Ахинский</w:t>
      </w:r>
      <w:proofErr w:type="spellEnd"/>
      <w:r w:rsidRPr="004F30FA">
        <w:rPr>
          <w:sz w:val="28"/>
          <w:szCs w:val="28"/>
        </w:rPr>
        <w:t xml:space="preserve"> детский сад № 32</w:t>
      </w:r>
    </w:p>
    <w:p w:rsidR="00694A16" w:rsidRPr="00F72FA3" w:rsidRDefault="00586B76" w:rsidP="006348C5">
      <w:pPr>
        <w:shd w:val="clear" w:color="auto" w:fill="FFFFFF"/>
        <w:tabs>
          <w:tab w:val="left" w:pos="355"/>
          <w:tab w:val="left" w:leader="underscore" w:pos="893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512B1E">
        <w:rPr>
          <w:color w:val="000000"/>
          <w:spacing w:val="-4"/>
          <w:sz w:val="28"/>
          <w:szCs w:val="28"/>
        </w:rPr>
        <w:t>28</w:t>
      </w:r>
      <w:r w:rsidR="00694A16" w:rsidRPr="00F72FA3">
        <w:rPr>
          <w:color w:val="000000"/>
          <w:spacing w:val="-4"/>
          <w:sz w:val="28"/>
          <w:szCs w:val="28"/>
        </w:rPr>
        <w:t>»</w:t>
      </w:r>
      <w:r w:rsidR="00512B1E">
        <w:rPr>
          <w:color w:val="000000"/>
          <w:spacing w:val="-4"/>
          <w:sz w:val="28"/>
          <w:szCs w:val="28"/>
        </w:rPr>
        <w:t xml:space="preserve"> сентября по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 xml:space="preserve"> «</w:t>
      </w:r>
      <w:r w:rsidR="00E83E29">
        <w:rPr>
          <w:color w:val="000000"/>
          <w:spacing w:val="-6"/>
          <w:sz w:val="28"/>
          <w:szCs w:val="28"/>
        </w:rPr>
        <w:t>0</w:t>
      </w:r>
      <w:r w:rsidR="00512B1E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512B1E">
        <w:rPr>
          <w:color w:val="000000"/>
          <w:spacing w:val="-6"/>
          <w:sz w:val="28"/>
          <w:szCs w:val="28"/>
        </w:rPr>
        <w:t>ноября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5E5229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348C5">
      <w:pPr>
        <w:tabs>
          <w:tab w:val="left" w:pos="-709"/>
          <w:tab w:val="left" w:pos="-567"/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D96E8C" w:rsidRPr="00E80B93" w:rsidRDefault="00D96E8C" w:rsidP="00D96E8C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80B93">
        <w:rPr>
          <w:bCs/>
          <w:sz w:val="28"/>
          <w:szCs w:val="28"/>
        </w:rPr>
        <w:t>П</w:t>
      </w:r>
      <w:r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 и иные цели,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муниципального бюджетного учреждения.</w:t>
      </w:r>
    </w:p>
    <w:p w:rsidR="00586B76" w:rsidRPr="000900B0" w:rsidRDefault="00586B76" w:rsidP="000900B0">
      <w:pPr>
        <w:shd w:val="clear" w:color="auto" w:fill="FFFFFF"/>
        <w:tabs>
          <w:tab w:val="left" w:pos="283"/>
          <w:tab w:val="left" w:leader="underscore" w:pos="9781"/>
        </w:tabs>
        <w:ind w:right="-5" w:firstLine="709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201</w:t>
      </w:r>
      <w:r w:rsidR="00F05D9D">
        <w:rPr>
          <w:b/>
          <w:color w:val="000000"/>
          <w:sz w:val="28"/>
          <w:szCs w:val="28"/>
        </w:rPr>
        <w:t>5-2016</w:t>
      </w:r>
      <w:r w:rsidR="00E0328C" w:rsidRPr="00F72FA3">
        <w:rPr>
          <w:b/>
          <w:color w:val="000000"/>
          <w:sz w:val="28"/>
          <w:szCs w:val="28"/>
        </w:rPr>
        <w:t xml:space="preserve"> год</w:t>
      </w:r>
      <w:r w:rsidR="00E83E29">
        <w:rPr>
          <w:b/>
          <w:color w:val="000000"/>
          <w:sz w:val="28"/>
          <w:szCs w:val="28"/>
        </w:rPr>
        <w:t>ы</w:t>
      </w:r>
      <w:r w:rsidR="00E0328C" w:rsidRPr="00F72FA3">
        <w:rPr>
          <w:b/>
          <w:color w:val="000000"/>
          <w:sz w:val="28"/>
          <w:szCs w:val="28"/>
        </w:rPr>
        <w:t>.</w:t>
      </w:r>
      <w:r w:rsidRPr="00E83E29">
        <w:rPr>
          <w:sz w:val="28"/>
          <w:szCs w:val="28"/>
        </w:rPr>
        <w:t xml:space="preserve"> </w:t>
      </w:r>
    </w:p>
    <w:p w:rsidR="00DF12EC" w:rsidRPr="00DF12EC" w:rsidRDefault="007A74C5" w:rsidP="00F05D9D">
      <w:pPr>
        <w:tabs>
          <w:tab w:val="left" w:pos="851"/>
        </w:tabs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</w:t>
      </w:r>
      <w:r w:rsidR="00F05D9D">
        <w:rPr>
          <w:b/>
          <w:bCs/>
          <w:sz w:val="28"/>
          <w:szCs w:val="28"/>
        </w:rPr>
        <w:t xml:space="preserve"> 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DF12EC" w:rsidRPr="00DF12EC">
        <w:rPr>
          <w:b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167770">
        <w:rPr>
          <w:b/>
          <w:spacing w:val="-1"/>
          <w:sz w:val="28"/>
          <w:szCs w:val="28"/>
        </w:rPr>
        <w:t>установлено следующее</w:t>
      </w:r>
      <w:r w:rsidR="00DF12EC" w:rsidRPr="00DF12EC">
        <w:rPr>
          <w:b/>
          <w:spacing w:val="-1"/>
          <w:sz w:val="28"/>
          <w:szCs w:val="28"/>
        </w:rPr>
        <w:t>:</w:t>
      </w:r>
      <w:r w:rsidR="00DF12EC" w:rsidRPr="00DF12EC">
        <w:rPr>
          <w:b/>
          <w:sz w:val="28"/>
          <w:szCs w:val="28"/>
        </w:rPr>
        <w:t xml:space="preserve"> </w:t>
      </w:r>
    </w:p>
    <w:p w:rsidR="00565C88" w:rsidRPr="004F30FA" w:rsidRDefault="00D96E8C" w:rsidP="00565C88">
      <w:pPr>
        <w:jc w:val="both"/>
        <w:rPr>
          <w:sz w:val="28"/>
          <w:szCs w:val="28"/>
        </w:rPr>
      </w:pPr>
      <w:r w:rsidRPr="004C7B8D">
        <w:rPr>
          <w:sz w:val="28"/>
          <w:szCs w:val="28"/>
        </w:rPr>
        <w:tab/>
      </w:r>
      <w:r w:rsidR="00565C88">
        <w:rPr>
          <w:sz w:val="28"/>
          <w:szCs w:val="28"/>
        </w:rPr>
        <w:t xml:space="preserve"> </w:t>
      </w:r>
      <w:r w:rsidR="00565C88" w:rsidRPr="004F30FA">
        <w:rPr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="00565C88" w:rsidRPr="004F30FA">
        <w:rPr>
          <w:sz w:val="28"/>
          <w:szCs w:val="28"/>
        </w:rPr>
        <w:t>Ахинский</w:t>
      </w:r>
      <w:proofErr w:type="spellEnd"/>
      <w:r w:rsidR="00565C88" w:rsidRPr="004F30FA">
        <w:rPr>
          <w:sz w:val="28"/>
          <w:szCs w:val="28"/>
        </w:rPr>
        <w:t xml:space="preserve"> детский сад № 32 является некоммерческим образованием, осуществляет свою деятельность в форме муниципального учреждения.</w:t>
      </w:r>
    </w:p>
    <w:p w:rsidR="00565C88" w:rsidRPr="004F30FA" w:rsidRDefault="00565C88" w:rsidP="00565C88">
      <w:pPr>
        <w:tabs>
          <w:tab w:val="left" w:pos="709"/>
        </w:tabs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F30FA">
        <w:rPr>
          <w:sz w:val="28"/>
          <w:szCs w:val="28"/>
        </w:rPr>
        <w:t xml:space="preserve">Учредителем Муниципального дошкольного образовательного учреждения </w:t>
      </w:r>
      <w:proofErr w:type="spellStart"/>
      <w:r w:rsidRPr="004F30FA">
        <w:rPr>
          <w:sz w:val="28"/>
          <w:szCs w:val="28"/>
        </w:rPr>
        <w:t>Ахинский</w:t>
      </w:r>
      <w:proofErr w:type="spellEnd"/>
      <w:r w:rsidRPr="004F30FA">
        <w:rPr>
          <w:sz w:val="28"/>
          <w:szCs w:val="28"/>
        </w:rPr>
        <w:t xml:space="preserve"> детский сад № 32 (сокращенно МДОУ </w:t>
      </w:r>
      <w:proofErr w:type="spellStart"/>
      <w:r w:rsidRPr="004F30FA">
        <w:rPr>
          <w:sz w:val="28"/>
          <w:szCs w:val="28"/>
        </w:rPr>
        <w:t>Ахинский</w:t>
      </w:r>
      <w:proofErr w:type="spellEnd"/>
      <w:r w:rsidRPr="004F30FA">
        <w:rPr>
          <w:sz w:val="28"/>
          <w:szCs w:val="28"/>
        </w:rPr>
        <w:t xml:space="preserve"> детский сад № 32, далее по тексту Учреждение) является администрация муниципального образования «Эхирит-Булагатский район».</w:t>
      </w:r>
    </w:p>
    <w:p w:rsidR="00565C88" w:rsidRPr="004F30FA" w:rsidRDefault="00565C88" w:rsidP="00565C8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F30FA">
        <w:rPr>
          <w:sz w:val="28"/>
          <w:szCs w:val="28"/>
        </w:rPr>
        <w:t>Местонахождение(фактический, юридический адрес): 669513, Россия, Иркутская область Эхирит-Булагатский район, с</w:t>
      </w:r>
      <w:proofErr w:type="gramStart"/>
      <w:r w:rsidRPr="004F30FA">
        <w:rPr>
          <w:sz w:val="28"/>
          <w:szCs w:val="28"/>
        </w:rPr>
        <w:t>.А</w:t>
      </w:r>
      <w:proofErr w:type="gramEnd"/>
      <w:r w:rsidRPr="004F30FA">
        <w:rPr>
          <w:sz w:val="28"/>
          <w:szCs w:val="28"/>
        </w:rPr>
        <w:t>хины, ул.Ленина.</w:t>
      </w:r>
    </w:p>
    <w:p w:rsidR="00565C88" w:rsidRPr="004F30FA" w:rsidRDefault="00565C88" w:rsidP="00565C88">
      <w:pPr>
        <w:tabs>
          <w:tab w:val="left" w:pos="567"/>
        </w:tabs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F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30FA">
        <w:rPr>
          <w:sz w:val="28"/>
          <w:szCs w:val="28"/>
        </w:rPr>
        <w:t>Вышестоящей организацией Учреждения является Управление образования администрации муниципального образования «Эхирит-Булагатский район». Учреждение является юридическим лицом.</w:t>
      </w:r>
    </w:p>
    <w:p w:rsidR="00565C88" w:rsidRPr="004F30FA" w:rsidRDefault="00565C88" w:rsidP="00565C88">
      <w:pPr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F30FA">
        <w:rPr>
          <w:sz w:val="28"/>
          <w:szCs w:val="28"/>
        </w:rPr>
        <w:t xml:space="preserve">МДОУ </w:t>
      </w:r>
      <w:proofErr w:type="spellStart"/>
      <w:r w:rsidRPr="004F30FA">
        <w:rPr>
          <w:sz w:val="28"/>
          <w:szCs w:val="28"/>
        </w:rPr>
        <w:t>Ахинский</w:t>
      </w:r>
      <w:proofErr w:type="spellEnd"/>
      <w:r w:rsidRPr="004F30FA">
        <w:rPr>
          <w:sz w:val="28"/>
          <w:szCs w:val="28"/>
        </w:rPr>
        <w:t xml:space="preserve"> детский сад № 32 действует на основании Закона РФ «Об образовании</w:t>
      </w:r>
      <w:r w:rsidRPr="004F30FA">
        <w:rPr>
          <w:color w:val="000000"/>
          <w:sz w:val="28"/>
          <w:szCs w:val="28"/>
        </w:rPr>
        <w:t xml:space="preserve">», Типовым положением о дошкольном образовательном </w:t>
      </w:r>
      <w:r w:rsidRPr="004F30FA">
        <w:rPr>
          <w:color w:val="000000"/>
          <w:sz w:val="28"/>
          <w:szCs w:val="28"/>
        </w:rPr>
        <w:lastRenderedPageBreak/>
        <w:t>учреждении,</w:t>
      </w:r>
      <w:r w:rsidRPr="004F30FA">
        <w:rPr>
          <w:sz w:val="28"/>
          <w:szCs w:val="28"/>
        </w:rPr>
        <w:t xml:space="preserve"> а также нормативными актами органов государственной власти Иркутской области и нормативными актами органов местного самоуправления и Устава учреждения.</w:t>
      </w:r>
    </w:p>
    <w:p w:rsidR="00565C88" w:rsidRDefault="00565C88" w:rsidP="00565C88">
      <w:pPr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4F30FA">
        <w:rPr>
          <w:sz w:val="28"/>
          <w:szCs w:val="28"/>
        </w:rPr>
        <w:t xml:space="preserve"> Устав МДОУ </w:t>
      </w:r>
      <w:proofErr w:type="spellStart"/>
      <w:r w:rsidRPr="004F30FA">
        <w:rPr>
          <w:sz w:val="28"/>
          <w:szCs w:val="28"/>
        </w:rPr>
        <w:t>Ахинский</w:t>
      </w:r>
      <w:proofErr w:type="spellEnd"/>
      <w:r w:rsidRPr="004F30FA">
        <w:rPr>
          <w:sz w:val="28"/>
          <w:szCs w:val="28"/>
        </w:rPr>
        <w:t xml:space="preserve"> детский сад № 32 утвержден Постановлением главы администрации  муниципального образования «Эхирит-Булагатский район» </w:t>
      </w:r>
      <w:r w:rsidRPr="004F30FA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316</w:t>
      </w:r>
      <w:r w:rsidRPr="004F30FA">
        <w:rPr>
          <w:color w:val="000000"/>
          <w:sz w:val="28"/>
          <w:szCs w:val="28"/>
        </w:rPr>
        <w:t xml:space="preserve"> </w:t>
      </w:r>
      <w:r w:rsidRPr="004F30FA">
        <w:rPr>
          <w:sz w:val="28"/>
          <w:szCs w:val="28"/>
        </w:rPr>
        <w:t>от 2</w:t>
      </w:r>
      <w:r>
        <w:rPr>
          <w:sz w:val="28"/>
          <w:szCs w:val="28"/>
        </w:rPr>
        <w:t>1.11.2011</w:t>
      </w:r>
      <w:r w:rsidRPr="004F30F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65C88" w:rsidRPr="00B83DD0" w:rsidRDefault="00565C88" w:rsidP="00565C8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30FA">
        <w:rPr>
          <w:sz w:val="28"/>
          <w:szCs w:val="28"/>
        </w:rPr>
        <w:t xml:space="preserve">Право на ведение образовательной деятельности регламентируется лицензией 38 </w:t>
      </w:r>
      <w:r>
        <w:rPr>
          <w:sz w:val="28"/>
          <w:szCs w:val="28"/>
        </w:rPr>
        <w:t>Л01</w:t>
      </w:r>
      <w:r w:rsidRPr="004F30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F30FA">
        <w:rPr>
          <w:sz w:val="28"/>
          <w:szCs w:val="28"/>
        </w:rPr>
        <w:t>000</w:t>
      </w:r>
      <w:r>
        <w:rPr>
          <w:sz w:val="28"/>
          <w:szCs w:val="28"/>
        </w:rPr>
        <w:t>742</w:t>
      </w:r>
      <w:r w:rsidRPr="00B83DD0">
        <w:rPr>
          <w:sz w:val="28"/>
          <w:szCs w:val="28"/>
        </w:rPr>
        <w:t xml:space="preserve">, регистрационный номер 0409-ср  от 20 февраля 2013г., </w:t>
      </w:r>
      <w:proofErr w:type="gramStart"/>
      <w:r w:rsidRPr="00B83DD0">
        <w:rPr>
          <w:sz w:val="28"/>
          <w:szCs w:val="28"/>
        </w:rPr>
        <w:t>выдана</w:t>
      </w:r>
      <w:proofErr w:type="gramEnd"/>
      <w:r w:rsidRPr="00B83DD0">
        <w:rPr>
          <w:sz w:val="28"/>
          <w:szCs w:val="28"/>
        </w:rPr>
        <w:t xml:space="preserve"> Службой по контролю и надзору в сфере образования Иркутской области бессрочно. </w:t>
      </w:r>
    </w:p>
    <w:p w:rsidR="00565C88" w:rsidRPr="004F30FA" w:rsidRDefault="00565C88" w:rsidP="00565C88">
      <w:pPr>
        <w:jc w:val="both"/>
        <w:rPr>
          <w:sz w:val="28"/>
          <w:szCs w:val="28"/>
        </w:rPr>
      </w:pPr>
      <w:r w:rsidRPr="004F30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F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30FA">
        <w:rPr>
          <w:sz w:val="28"/>
          <w:szCs w:val="28"/>
        </w:rPr>
        <w:t xml:space="preserve"> В Единый государственный реестр юридических лиц Учреждение внесено за основным государственным регистрационным номером  1028500601447, о чем выдано свидетельство серии 38 № 002933045 от 08 июня </w:t>
      </w:r>
      <w:smartTag w:uri="urn:schemas-microsoft-com:office:smarttags" w:element="metricconverter">
        <w:smartTagPr>
          <w:attr w:name="ProductID" w:val="2009 г"/>
        </w:smartTagPr>
        <w:r w:rsidRPr="004F30FA">
          <w:rPr>
            <w:sz w:val="28"/>
            <w:szCs w:val="28"/>
          </w:rPr>
          <w:t>2009 г</w:t>
        </w:r>
      </w:smartTag>
      <w:r w:rsidRPr="004F30FA">
        <w:rPr>
          <w:sz w:val="28"/>
          <w:szCs w:val="28"/>
        </w:rPr>
        <w:t>.</w:t>
      </w:r>
    </w:p>
    <w:p w:rsidR="00565C88" w:rsidRPr="004F30FA" w:rsidRDefault="00565C88" w:rsidP="00565C8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F30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F30FA">
        <w:rPr>
          <w:sz w:val="28"/>
          <w:szCs w:val="28"/>
        </w:rPr>
        <w:t xml:space="preserve">Состоит на учете в Межрайонной ИФНС России №16 по Иркутской области с 01 ноября </w:t>
      </w:r>
      <w:smartTag w:uri="urn:schemas-microsoft-com:office:smarttags" w:element="metricconverter">
        <w:smartTagPr>
          <w:attr w:name="ProductID" w:val="2001 г"/>
        </w:smartTagPr>
        <w:r w:rsidRPr="004F30FA">
          <w:rPr>
            <w:sz w:val="28"/>
            <w:szCs w:val="28"/>
          </w:rPr>
          <w:t>2001 г</w:t>
        </w:r>
      </w:smartTag>
      <w:r w:rsidRPr="004F30FA">
        <w:rPr>
          <w:sz w:val="28"/>
          <w:szCs w:val="28"/>
        </w:rPr>
        <w:t xml:space="preserve">,  Идентификационный номер налогоплательщика (ИНН) 8506006788 с кодом причины постановки на учет (КПП) 850601001 свидетельство серии 38 № </w:t>
      </w:r>
      <w:r w:rsidRPr="004F30FA">
        <w:rPr>
          <w:color w:val="000000"/>
          <w:sz w:val="28"/>
          <w:szCs w:val="28"/>
        </w:rPr>
        <w:t>003051135.</w:t>
      </w:r>
    </w:p>
    <w:p w:rsidR="00565C88" w:rsidRPr="001D63AF" w:rsidRDefault="00565C88" w:rsidP="00565C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63AF">
        <w:rPr>
          <w:sz w:val="28"/>
          <w:szCs w:val="28"/>
        </w:rPr>
        <w:t>Ответственными за соблюдение действующего законодательства при выполнении финансово-хозяйственных операций; за использованием бюджетных средств являлись:</w:t>
      </w:r>
    </w:p>
    <w:p w:rsidR="00565C88" w:rsidRPr="001D63AF" w:rsidRDefault="00565C88" w:rsidP="00565C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63AF">
        <w:rPr>
          <w:sz w:val="28"/>
          <w:szCs w:val="28"/>
        </w:rPr>
        <w:t xml:space="preserve">- с правом первой подписи </w:t>
      </w:r>
      <w:proofErr w:type="gramStart"/>
      <w:r w:rsidRPr="001D63AF">
        <w:rPr>
          <w:sz w:val="28"/>
          <w:szCs w:val="28"/>
        </w:rPr>
        <w:t>заведующая  учреждения</w:t>
      </w:r>
      <w:proofErr w:type="gramEnd"/>
      <w:r w:rsidRPr="001D63AF">
        <w:rPr>
          <w:sz w:val="28"/>
          <w:szCs w:val="28"/>
        </w:rPr>
        <w:t xml:space="preserve"> </w:t>
      </w:r>
      <w:proofErr w:type="spellStart"/>
      <w:r w:rsidRPr="001D63AF">
        <w:rPr>
          <w:sz w:val="28"/>
          <w:szCs w:val="28"/>
        </w:rPr>
        <w:t>Ружникова</w:t>
      </w:r>
      <w:proofErr w:type="spellEnd"/>
      <w:r w:rsidRPr="001D63AF">
        <w:rPr>
          <w:sz w:val="28"/>
          <w:szCs w:val="28"/>
        </w:rPr>
        <w:t xml:space="preserve"> Людмила Владимировна;</w:t>
      </w:r>
    </w:p>
    <w:p w:rsidR="00565C88" w:rsidRPr="001D63AF" w:rsidRDefault="00565C88" w:rsidP="00565C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63AF">
        <w:rPr>
          <w:sz w:val="28"/>
          <w:szCs w:val="28"/>
        </w:rPr>
        <w:t xml:space="preserve">- с правом  второй подписи бухгалтер </w:t>
      </w:r>
      <w:proofErr w:type="spellStart"/>
      <w:r w:rsidRPr="001D63AF">
        <w:rPr>
          <w:sz w:val="28"/>
          <w:szCs w:val="28"/>
        </w:rPr>
        <w:t>Добосова</w:t>
      </w:r>
      <w:proofErr w:type="spellEnd"/>
      <w:r w:rsidRPr="001D63A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аргарита </w:t>
      </w:r>
      <w:proofErr w:type="spellStart"/>
      <w:r w:rsidRPr="001D63AF">
        <w:rPr>
          <w:sz w:val="28"/>
          <w:szCs w:val="28"/>
        </w:rPr>
        <w:t>С</w:t>
      </w:r>
      <w:r>
        <w:rPr>
          <w:sz w:val="28"/>
          <w:szCs w:val="28"/>
        </w:rPr>
        <w:t>ократовна</w:t>
      </w:r>
      <w:proofErr w:type="spellEnd"/>
      <w:r w:rsidRPr="001D63AF">
        <w:rPr>
          <w:sz w:val="28"/>
          <w:szCs w:val="28"/>
        </w:rPr>
        <w:t>.</w:t>
      </w:r>
    </w:p>
    <w:p w:rsidR="00565C88" w:rsidRPr="001B1727" w:rsidRDefault="00565C88" w:rsidP="00565C88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1727">
        <w:rPr>
          <w:sz w:val="28"/>
          <w:szCs w:val="28"/>
        </w:rPr>
        <w:t>В соответствии с действующим законодательством приказом директора М</w:t>
      </w:r>
      <w:r>
        <w:rPr>
          <w:sz w:val="28"/>
          <w:szCs w:val="28"/>
        </w:rPr>
        <w:t>Д</w:t>
      </w:r>
      <w:r w:rsidRPr="001B172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№32</w:t>
      </w:r>
      <w:r w:rsidRPr="001B1727">
        <w:rPr>
          <w:sz w:val="28"/>
          <w:szCs w:val="28"/>
        </w:rPr>
        <w:t>» утверждена единая Учетная политика, применимая бюджетным учреждением на 2015</w:t>
      </w:r>
      <w:r>
        <w:rPr>
          <w:sz w:val="28"/>
          <w:szCs w:val="28"/>
        </w:rPr>
        <w:t>-2016</w:t>
      </w:r>
      <w:r w:rsidRPr="001B172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B1727">
        <w:rPr>
          <w:sz w:val="28"/>
          <w:szCs w:val="28"/>
        </w:rPr>
        <w:t>.</w:t>
      </w:r>
    </w:p>
    <w:p w:rsidR="00565C88" w:rsidRPr="001B1727" w:rsidRDefault="00565C88" w:rsidP="00565C8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1727">
        <w:rPr>
          <w:sz w:val="28"/>
          <w:szCs w:val="28"/>
        </w:rPr>
        <w:t>В целом учетная политика содержит все положения организации  и ведения бухгалтерского и налогового учета.</w:t>
      </w:r>
    </w:p>
    <w:p w:rsidR="00565C88" w:rsidRPr="0015273A" w:rsidRDefault="00565C88" w:rsidP="00565C8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 </w:t>
      </w:r>
      <w:r w:rsidRPr="0015273A">
        <w:rPr>
          <w:sz w:val="28"/>
          <w:szCs w:val="28"/>
        </w:rPr>
        <w:t xml:space="preserve"> Муниципальное задание  №10</w:t>
      </w:r>
      <w:r>
        <w:rPr>
          <w:sz w:val="28"/>
          <w:szCs w:val="28"/>
        </w:rPr>
        <w:t>1</w:t>
      </w:r>
      <w:r w:rsidRPr="0015273A">
        <w:rPr>
          <w:sz w:val="28"/>
          <w:szCs w:val="28"/>
        </w:rPr>
        <w:t>/0</w:t>
      </w:r>
      <w:r>
        <w:rPr>
          <w:sz w:val="28"/>
          <w:szCs w:val="28"/>
        </w:rPr>
        <w:t>2</w:t>
      </w:r>
      <w:r w:rsidRPr="0015273A">
        <w:rPr>
          <w:sz w:val="28"/>
          <w:szCs w:val="28"/>
        </w:rPr>
        <w:t xml:space="preserve"> на 2015 год и плановый 2016-2017 годы утверждено мэром муниципального образования «Эхирит-Булагатский район» 25 </w:t>
      </w:r>
      <w:r>
        <w:rPr>
          <w:sz w:val="28"/>
          <w:szCs w:val="28"/>
        </w:rPr>
        <w:t xml:space="preserve">декабря 2015 года,  на 2016 год и плановый период 2017 и 2018 годов утверждено мэром </w:t>
      </w:r>
      <w:r w:rsidRPr="0015273A">
        <w:rPr>
          <w:sz w:val="28"/>
          <w:szCs w:val="28"/>
        </w:rPr>
        <w:t>муниципального образования «Эхирит-Булагатский район»</w:t>
      </w:r>
      <w:r>
        <w:rPr>
          <w:sz w:val="28"/>
          <w:szCs w:val="28"/>
        </w:rPr>
        <w:t xml:space="preserve"> 29 января 2016 года.</w:t>
      </w:r>
    </w:p>
    <w:p w:rsidR="00565C88" w:rsidRPr="0015273A" w:rsidRDefault="00565C88" w:rsidP="00565C8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          Муниципальное задание сформировано по форме согласно приложению к Положению о формировании муниципального задания в отношении муниципальных учреждений и финансовом обеспечении выполнения муниципального задания, утвержденным приказом начальника Управления образования администрации муниципального образования «Эхирит-Булагатский район» от 31.12.2014г. № 448.</w:t>
      </w:r>
    </w:p>
    <w:p w:rsidR="00565C88" w:rsidRPr="00081945" w:rsidRDefault="00565C88" w:rsidP="00565C88">
      <w:pPr>
        <w:tabs>
          <w:tab w:val="left" w:pos="426"/>
          <w:tab w:val="left" w:pos="709"/>
        </w:tabs>
        <w:ind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1945">
        <w:rPr>
          <w:sz w:val="28"/>
          <w:szCs w:val="28"/>
        </w:rPr>
        <w:t>Одним из документов, характеризующим выполнение муниципальным бюджетным учреждением своих функций, является План финансово-хозяйственной деятельности.</w:t>
      </w:r>
    </w:p>
    <w:p w:rsidR="00D96E8C" w:rsidRDefault="00565C88" w:rsidP="00797B0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96E8C" w:rsidRPr="00331FD7">
        <w:rPr>
          <w:b/>
          <w:sz w:val="28"/>
          <w:szCs w:val="28"/>
        </w:rPr>
        <w:t>При анализе исполнения плана ФХД за проверяемый период</w:t>
      </w:r>
      <w:r w:rsidR="00D96E8C" w:rsidRPr="006D3833">
        <w:rPr>
          <w:sz w:val="28"/>
          <w:szCs w:val="28"/>
        </w:rPr>
        <w:t xml:space="preserve"> произведено  сопоставление данных отчетов об исполнении учреждением </w:t>
      </w:r>
      <w:r w:rsidR="00D96E8C" w:rsidRPr="006D3833">
        <w:rPr>
          <w:sz w:val="28"/>
          <w:szCs w:val="28"/>
        </w:rPr>
        <w:lastRenderedPageBreak/>
        <w:t xml:space="preserve">плана его финансово-хозяйственной деятельности (ф.0503737), </w:t>
      </w:r>
      <w:proofErr w:type="gramStart"/>
      <w:r w:rsidR="00D96E8C" w:rsidRPr="006D3833">
        <w:rPr>
          <w:sz w:val="28"/>
          <w:szCs w:val="28"/>
        </w:rPr>
        <w:t>о</w:t>
      </w:r>
      <w:proofErr w:type="gramEnd"/>
      <w:r w:rsidR="00D96E8C" w:rsidRPr="006D3833">
        <w:rPr>
          <w:sz w:val="28"/>
          <w:szCs w:val="28"/>
        </w:rPr>
        <w:t xml:space="preserve"> финансовых </w:t>
      </w:r>
      <w:proofErr w:type="gramStart"/>
      <w:r w:rsidR="00D96E8C" w:rsidRPr="006D3833">
        <w:rPr>
          <w:sz w:val="28"/>
          <w:szCs w:val="28"/>
        </w:rPr>
        <w:t>результатах деятельности (ф.0503721), баланса государственного (муниципального) учреждения (ф.0503730), отчета об обязательствах (ф.0503738), сведениями о движении нефинансовых активов (ф.0503768), сведениями по дебиторской и кредиторской задолженности (ф.0503769) с Главной книгой.</w:t>
      </w:r>
      <w:proofErr w:type="gramEnd"/>
    </w:p>
    <w:p w:rsidR="00D96E8C" w:rsidRDefault="00D96E8C" w:rsidP="00565C88">
      <w:pPr>
        <w:tabs>
          <w:tab w:val="left" w:pos="426"/>
          <w:tab w:val="left" w:pos="709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7B8D">
        <w:rPr>
          <w:sz w:val="28"/>
          <w:szCs w:val="28"/>
        </w:rPr>
        <w:tab/>
      </w:r>
      <w:r w:rsidRPr="006D3833">
        <w:rPr>
          <w:sz w:val="28"/>
          <w:szCs w:val="28"/>
        </w:rPr>
        <w:t xml:space="preserve"> </w:t>
      </w:r>
      <w:r w:rsidR="00565C88">
        <w:rPr>
          <w:sz w:val="28"/>
          <w:szCs w:val="28"/>
        </w:rPr>
        <w:t xml:space="preserve">  </w:t>
      </w:r>
      <w:r w:rsidRPr="00EF272D">
        <w:rPr>
          <w:sz w:val="28"/>
          <w:szCs w:val="28"/>
        </w:rPr>
        <w:t>Анализ исполнения плана финансово-хозяйственной деятельности в М</w:t>
      </w:r>
      <w:r>
        <w:rPr>
          <w:sz w:val="28"/>
          <w:szCs w:val="28"/>
        </w:rPr>
        <w:t>Д</w:t>
      </w:r>
      <w:r w:rsidRPr="00EF272D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№32 за 2015-2016 годы</w:t>
      </w:r>
      <w:r w:rsidRPr="00EF272D">
        <w:rPr>
          <w:sz w:val="28"/>
          <w:szCs w:val="28"/>
        </w:rPr>
        <w:t xml:space="preserve"> представлен в </w:t>
      </w:r>
      <w:r>
        <w:rPr>
          <w:sz w:val="28"/>
          <w:szCs w:val="28"/>
        </w:rPr>
        <w:t>Т</w:t>
      </w:r>
      <w:r w:rsidRPr="00EF272D">
        <w:rPr>
          <w:sz w:val="28"/>
          <w:szCs w:val="28"/>
        </w:rPr>
        <w:t xml:space="preserve">аблице № </w:t>
      </w:r>
      <w:r>
        <w:rPr>
          <w:sz w:val="28"/>
          <w:szCs w:val="28"/>
        </w:rPr>
        <w:t>3</w:t>
      </w:r>
      <w:r w:rsidRPr="00EF27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96E8C" w:rsidRPr="00566CD3" w:rsidRDefault="00D96E8C" w:rsidP="00D96E8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Таблица3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                                           </w:t>
      </w:r>
      <w:r w:rsidRPr="00566CD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134"/>
        <w:gridCol w:w="992"/>
        <w:gridCol w:w="992"/>
        <w:gridCol w:w="993"/>
        <w:gridCol w:w="283"/>
        <w:gridCol w:w="851"/>
        <w:gridCol w:w="850"/>
        <w:gridCol w:w="1134"/>
      </w:tblGrid>
      <w:tr w:rsidR="00D96E8C" w:rsidRPr="005C3E44" w:rsidTr="005A7D11">
        <w:tc>
          <w:tcPr>
            <w:tcW w:w="817" w:type="dxa"/>
            <w:vMerge w:val="restart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proofErr w:type="spellStart"/>
            <w:r>
              <w:t>Косгу</w:t>
            </w:r>
            <w:proofErr w:type="spellEnd"/>
          </w:p>
        </w:tc>
        <w:tc>
          <w:tcPr>
            <w:tcW w:w="1843" w:type="dxa"/>
            <w:vMerge w:val="restart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Наименование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proofErr w:type="gramStart"/>
            <w:r w:rsidRPr="005C3E44">
              <w:t>Кассовое исполнение)</w:t>
            </w:r>
            <w:proofErr w:type="gramEnd"/>
          </w:p>
        </w:tc>
        <w:tc>
          <w:tcPr>
            <w:tcW w:w="992" w:type="dxa"/>
            <w:vMerge w:val="restart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 xml:space="preserve">Финансовый результат </w:t>
            </w:r>
          </w:p>
        </w:tc>
        <w:tc>
          <w:tcPr>
            <w:tcW w:w="1985" w:type="dxa"/>
            <w:gridSpan w:val="2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превышение</w:t>
            </w:r>
          </w:p>
        </w:tc>
        <w:tc>
          <w:tcPr>
            <w:tcW w:w="3118" w:type="dxa"/>
            <w:gridSpan w:val="4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Задолженность</w:t>
            </w:r>
          </w:p>
        </w:tc>
      </w:tr>
      <w:tr w:rsidR="00D96E8C" w:rsidRPr="005C3E44" w:rsidTr="005A7D11">
        <w:tc>
          <w:tcPr>
            <w:tcW w:w="817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843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 w:val="restart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Кассового исполнения над финансовым результатом</w:t>
            </w:r>
          </w:p>
        </w:tc>
        <w:tc>
          <w:tcPr>
            <w:tcW w:w="993" w:type="dxa"/>
            <w:vMerge w:val="restart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Финансового результата над кассовым исполнением</w:t>
            </w:r>
          </w:p>
        </w:tc>
        <w:tc>
          <w:tcPr>
            <w:tcW w:w="1134" w:type="dxa"/>
            <w:gridSpan w:val="2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 xml:space="preserve">На </w:t>
            </w:r>
            <w:r>
              <w:t>начало года</w:t>
            </w:r>
          </w:p>
        </w:tc>
        <w:tc>
          <w:tcPr>
            <w:tcW w:w="1984" w:type="dxa"/>
            <w:gridSpan w:val="2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На конец года</w:t>
            </w:r>
          </w:p>
        </w:tc>
      </w:tr>
      <w:tr w:rsidR="00D96E8C" w:rsidRPr="005C3E44" w:rsidTr="005A7D11">
        <w:tc>
          <w:tcPr>
            <w:tcW w:w="817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843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3" w:type="dxa"/>
            <w:vMerge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Д</w:t>
            </w:r>
          </w:p>
        </w:tc>
        <w:tc>
          <w:tcPr>
            <w:tcW w:w="851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К</w:t>
            </w:r>
            <w:r w:rsidRPr="005C3E44">
              <w:t>т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 xml:space="preserve">Дт </w:t>
            </w:r>
          </w:p>
        </w:tc>
        <w:tc>
          <w:tcPr>
            <w:tcW w:w="1134" w:type="dxa"/>
          </w:tcPr>
          <w:p w:rsidR="00D96E8C" w:rsidRPr="00AF5252" w:rsidRDefault="00D96E8C" w:rsidP="005A7D11">
            <w:pPr>
              <w:tabs>
                <w:tab w:val="left" w:pos="600"/>
              </w:tabs>
              <w:jc w:val="both"/>
            </w:pPr>
            <w:r w:rsidRPr="00AF5252">
              <w:t>Кт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</w:tr>
      <w:tr w:rsidR="00D96E8C" w:rsidRPr="005C3E44" w:rsidTr="005A7D11">
        <w:trPr>
          <w:trHeight w:val="661"/>
        </w:trPr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211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 xml:space="preserve">Заработная </w:t>
            </w:r>
            <w:r>
              <w:t xml:space="preserve">плата 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1418,0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1616,9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1478,4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1541,5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75,4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60,4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15,2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75,4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462E9E" w:rsidRDefault="00D96E8C" w:rsidP="005A7D11">
            <w:pPr>
              <w:tabs>
                <w:tab w:val="left" w:pos="600"/>
              </w:tabs>
              <w:jc w:val="both"/>
            </w:pPr>
            <w:r>
              <w:t>75,4</w:t>
            </w: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213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Начисления на выплаты по оплате труда</w:t>
            </w:r>
            <w:r>
              <w:t xml:space="preserve"> 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408,9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507,7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446,3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470,1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7E2A8A" w:rsidRDefault="00D96E8C" w:rsidP="005A7D11">
            <w:pPr>
              <w:tabs>
                <w:tab w:val="left" w:pos="600"/>
              </w:tabs>
              <w:jc w:val="both"/>
            </w:pPr>
            <w:r>
              <w:t>37,4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37,4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37,4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FE2254" w:rsidRDefault="00D96E8C" w:rsidP="005A7D11">
            <w:pPr>
              <w:tabs>
                <w:tab w:val="left" w:pos="600"/>
              </w:tabs>
              <w:jc w:val="both"/>
            </w:pPr>
            <w:r>
              <w:t>37,4</w:t>
            </w: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223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 xml:space="preserve">Коммунальные </w:t>
            </w:r>
            <w:r>
              <w:t>услуги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107,9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180,9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167,4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142,4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38,5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59,5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15,7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67,2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C00000"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C00000"/>
              </w:rPr>
            </w:pPr>
          </w:p>
          <w:p w:rsidR="00D96E8C" w:rsidRPr="00D070E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 w:rsidRPr="00D070EC">
              <w:rPr>
                <w:b/>
              </w:rPr>
              <w:t>67,2/75,2</w:t>
            </w:r>
          </w:p>
          <w:p w:rsidR="00D96E8C" w:rsidRPr="002A4110" w:rsidRDefault="00D96E8C" w:rsidP="005A7D11">
            <w:pPr>
              <w:tabs>
                <w:tab w:val="left" w:pos="600"/>
              </w:tabs>
              <w:jc w:val="both"/>
              <w:rPr>
                <w:color w:val="C00000"/>
              </w:rPr>
            </w:pPr>
            <w:r w:rsidRPr="00D070EC">
              <w:rPr>
                <w:b/>
              </w:rPr>
              <w:t>28,6/36,7</w:t>
            </w: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225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Работы, услуги по содержанию имущества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10,0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13,1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14,1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12,0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1,1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4,1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4,1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4,1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3,0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226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Прочие работы,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услуги</w:t>
            </w:r>
            <w:r w:rsidRPr="005C3E44">
              <w:t xml:space="preserve"> 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1,1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22,0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27,0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0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22,0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643E2F" w:rsidRDefault="00D96E8C" w:rsidP="005A7D11">
            <w:pPr>
              <w:tabs>
                <w:tab w:val="left" w:pos="600"/>
              </w:tabs>
              <w:jc w:val="both"/>
            </w:pPr>
            <w:r>
              <w:t>25,9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25,9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25,9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3,9</w:t>
            </w: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290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Прочие расходы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0,2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3,8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0,2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3,8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0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8B763C" w:rsidRDefault="00D96E8C" w:rsidP="005A7D11">
            <w:pPr>
              <w:tabs>
                <w:tab w:val="left" w:pos="600"/>
              </w:tabs>
              <w:jc w:val="both"/>
            </w:pPr>
            <w:r>
              <w:t>0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18,0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18,0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18,0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18,0</w:t>
            </w: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310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Увеличение стоимости основных средств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0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17,5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0</w:t>
            </w:r>
          </w:p>
          <w:p w:rsidR="00D96E8C" w:rsidRPr="00AF5252" w:rsidRDefault="00D96E8C" w:rsidP="005A7D11">
            <w:pPr>
              <w:tabs>
                <w:tab w:val="left" w:pos="600"/>
              </w:tabs>
              <w:jc w:val="both"/>
            </w:pPr>
            <w:r>
              <w:t>37,5</w:t>
            </w:r>
          </w:p>
        </w:tc>
        <w:tc>
          <w:tcPr>
            <w:tcW w:w="992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</w:tr>
      <w:tr w:rsidR="00D96E8C" w:rsidRPr="005C3E44" w:rsidTr="005A7D11">
        <w:tc>
          <w:tcPr>
            <w:tcW w:w="817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 w:rsidRPr="005C3E44">
              <w:t>340</w:t>
            </w:r>
          </w:p>
        </w:tc>
        <w:tc>
          <w:tcPr>
            <w:tcW w:w="184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  <w:r w:rsidRPr="005C3E44">
              <w:t>Увеличение стоимости</w:t>
            </w:r>
            <w:r>
              <w:t xml:space="preserve"> </w:t>
            </w:r>
            <w:r w:rsidRPr="005C3E44">
              <w:t>материальных запасов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2015 год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2016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207,2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  <w:r>
              <w:t>200,9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FF0000"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FF0000"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FF0000"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218,7</w:t>
            </w:r>
          </w:p>
          <w:p w:rsidR="00D96E8C" w:rsidRPr="00580916" w:rsidRDefault="00D96E8C" w:rsidP="005A7D11">
            <w:pPr>
              <w:tabs>
                <w:tab w:val="left" w:pos="60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200,9</w:t>
            </w:r>
          </w:p>
        </w:tc>
        <w:tc>
          <w:tcPr>
            <w:tcW w:w="992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</w:pPr>
            <w:r>
              <w:t>11,5</w:t>
            </w:r>
          </w:p>
          <w:p w:rsidR="00D96E8C" w:rsidRPr="00112AF2" w:rsidRDefault="00D96E8C" w:rsidP="005A7D11">
            <w:pPr>
              <w:tabs>
                <w:tab w:val="left" w:pos="600"/>
              </w:tabs>
              <w:jc w:val="both"/>
            </w:pPr>
            <w:r>
              <w:t>0,0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</w:pPr>
          </w:p>
        </w:tc>
      </w:tr>
      <w:tr w:rsidR="00D96E8C" w:rsidRPr="005C3E44" w:rsidTr="005A7D11">
        <w:tc>
          <w:tcPr>
            <w:tcW w:w="2660" w:type="dxa"/>
            <w:gridSpan w:val="2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 w:rsidRPr="005C3E44">
              <w:rPr>
                <w:b/>
              </w:rPr>
              <w:t xml:space="preserve">         Итого</w:t>
            </w: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2015 год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2016 год         </w:t>
            </w: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2153,3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2562,8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2352,2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2408,2</w:t>
            </w:r>
          </w:p>
        </w:tc>
        <w:tc>
          <w:tcPr>
            <w:tcW w:w="992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154,6</w:t>
            </w:r>
          </w:p>
        </w:tc>
        <w:tc>
          <w:tcPr>
            <w:tcW w:w="993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198,9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20,0</w:t>
            </w:r>
          </w:p>
        </w:tc>
        <w:tc>
          <w:tcPr>
            <w:tcW w:w="283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48,9</w:t>
            </w:r>
          </w:p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228,1</w:t>
            </w:r>
          </w:p>
        </w:tc>
        <w:tc>
          <w:tcPr>
            <w:tcW w:w="850" w:type="dxa"/>
          </w:tcPr>
          <w:p w:rsidR="00D96E8C" w:rsidRPr="005C3E44" w:rsidRDefault="00D96E8C" w:rsidP="005A7D11">
            <w:pPr>
              <w:tabs>
                <w:tab w:val="left" w:pos="60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  <w:color w:val="000000"/>
                <w:lang w:val="en-US"/>
              </w:rPr>
            </w:pPr>
          </w:p>
          <w:p w:rsidR="00D96E8C" w:rsidRDefault="00D96E8C" w:rsidP="005A7D11">
            <w:pPr>
              <w:tabs>
                <w:tab w:val="left" w:pos="6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228,1</w:t>
            </w:r>
          </w:p>
          <w:p w:rsidR="00D96E8C" w:rsidRPr="00BE45EE" w:rsidRDefault="00D96E8C" w:rsidP="005A7D11">
            <w:pPr>
              <w:tabs>
                <w:tab w:val="left" w:pos="6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53,5</w:t>
            </w:r>
          </w:p>
        </w:tc>
      </w:tr>
    </w:tbl>
    <w:p w:rsidR="00D96E8C" w:rsidRDefault="00D96E8C" w:rsidP="00D96E8C">
      <w:pPr>
        <w:tabs>
          <w:tab w:val="left" w:pos="600"/>
        </w:tabs>
        <w:ind w:left="720"/>
        <w:jc w:val="both"/>
      </w:pPr>
    </w:p>
    <w:p w:rsidR="00D96E8C" w:rsidRPr="00B63388" w:rsidRDefault="00D96E8C" w:rsidP="00D96E8C">
      <w:pPr>
        <w:tabs>
          <w:tab w:val="left" w:pos="600"/>
        </w:tabs>
        <w:ind w:left="720"/>
        <w:jc w:val="both"/>
      </w:pPr>
      <w:r>
        <w:t>*11,5 тыс. рублей б</w:t>
      </w:r>
      <w:r w:rsidRPr="00E40B29">
        <w:t xml:space="preserve">езвозмездное поступление материальных </w:t>
      </w:r>
      <w:r w:rsidRPr="00B63388">
        <w:t>запасов от Комитета ЖКХ.</w:t>
      </w:r>
    </w:p>
    <w:p w:rsidR="00D96E8C" w:rsidRPr="00B63388" w:rsidRDefault="00D96E8C" w:rsidP="00D96E8C">
      <w:pPr>
        <w:tabs>
          <w:tab w:val="left" w:pos="600"/>
        </w:tabs>
        <w:ind w:left="720"/>
        <w:jc w:val="both"/>
      </w:pPr>
      <w:r w:rsidRPr="00B63388">
        <w:t>* 20,0 тыс. рублей безвозмездное поступление основных средств от КУМИ и Комитета ЖКХ</w:t>
      </w:r>
      <w:proofErr w:type="gramStart"/>
      <w:r w:rsidRPr="00B63388">
        <w:t xml:space="preserve"> .</w:t>
      </w:r>
      <w:proofErr w:type="gramEnd"/>
    </w:p>
    <w:p w:rsidR="00D96E8C" w:rsidRPr="00B63388" w:rsidRDefault="00D96E8C" w:rsidP="00D96E8C">
      <w:pPr>
        <w:tabs>
          <w:tab w:val="left" w:pos="600"/>
        </w:tabs>
        <w:jc w:val="both"/>
      </w:pPr>
      <w:r w:rsidRPr="00B63388">
        <w:t xml:space="preserve">          </w:t>
      </w:r>
      <w:r w:rsidR="00B63388">
        <w:t xml:space="preserve">  </w:t>
      </w:r>
      <w:r w:rsidRPr="00B63388">
        <w:t xml:space="preserve">  * 18,0 тыс. рублей просроченная задолженность с 2009 год</w:t>
      </w:r>
      <w:proofErr w:type="gramStart"/>
      <w:r w:rsidRPr="00B63388">
        <w:t>а(</w:t>
      </w:r>
      <w:proofErr w:type="gramEnd"/>
      <w:r w:rsidRPr="00B63388">
        <w:t>пени по налогам)</w:t>
      </w:r>
    </w:p>
    <w:p w:rsidR="00D96E8C" w:rsidRPr="00B63388" w:rsidRDefault="00D96E8C" w:rsidP="00D96E8C">
      <w:pPr>
        <w:tabs>
          <w:tab w:val="left" w:pos="600"/>
        </w:tabs>
        <w:jc w:val="both"/>
        <w:rPr>
          <w:b/>
        </w:rPr>
      </w:pPr>
      <w:r w:rsidRPr="00B63388">
        <w:t xml:space="preserve">           </w:t>
      </w:r>
      <w:r w:rsidR="00B63388">
        <w:t xml:space="preserve">  </w:t>
      </w:r>
      <w:r w:rsidRPr="00B63388">
        <w:t xml:space="preserve"> </w:t>
      </w:r>
      <w:r w:rsidRPr="00B63388">
        <w:rPr>
          <w:b/>
        </w:rPr>
        <w:t xml:space="preserve">* 8,0 тыс. рублей </w:t>
      </w:r>
      <w:r w:rsidR="00B63388" w:rsidRPr="00B63388">
        <w:rPr>
          <w:b/>
        </w:rPr>
        <w:t>- искажение</w:t>
      </w:r>
    </w:p>
    <w:p w:rsidR="00D96E8C" w:rsidRPr="001F0EB7" w:rsidRDefault="00D96E8C" w:rsidP="00D96E8C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0EB7">
        <w:rPr>
          <w:b/>
          <w:sz w:val="28"/>
          <w:szCs w:val="28"/>
        </w:rPr>
        <w:t xml:space="preserve">2015 год </w:t>
      </w:r>
    </w:p>
    <w:p w:rsidR="00D96E8C" w:rsidRDefault="00D96E8C" w:rsidP="00B6338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5170F">
        <w:rPr>
          <w:sz w:val="28"/>
          <w:szCs w:val="28"/>
        </w:rPr>
        <w:t xml:space="preserve">Превышение финансового результата над кассовым исполнением по КОСГУ 223 «Коммунальные </w:t>
      </w:r>
      <w:r w:rsidRPr="00A37F42">
        <w:rPr>
          <w:sz w:val="28"/>
          <w:szCs w:val="28"/>
        </w:rPr>
        <w:t xml:space="preserve">услуги» составило </w:t>
      </w:r>
      <w:r>
        <w:rPr>
          <w:sz w:val="28"/>
          <w:szCs w:val="28"/>
        </w:rPr>
        <w:t>59,5 тыс. рублей</w:t>
      </w:r>
      <w:r w:rsidRPr="00867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из-за наличия кредиторской </w:t>
      </w:r>
      <w:r w:rsidRPr="0015170F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15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начало года </w:t>
      </w:r>
      <w:r w:rsidRPr="0015170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15,7 тыс. рублей и образования кредиторской задолженности на конец года в сумме 75,2 тыс. рублей, </w:t>
      </w:r>
      <w:r w:rsidRPr="00A92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не соответствует ф.0503769 «сведения по дебиторской и кредиторской задолженности» в сумме </w:t>
      </w:r>
      <w:r w:rsidRPr="00A92F09">
        <w:rPr>
          <w:b/>
          <w:sz w:val="28"/>
          <w:szCs w:val="28"/>
        </w:rPr>
        <w:t>8,0</w:t>
      </w:r>
      <w:r>
        <w:rPr>
          <w:sz w:val="28"/>
          <w:szCs w:val="28"/>
        </w:rPr>
        <w:t xml:space="preserve"> тыс. рублей.</w:t>
      </w:r>
      <w:proofErr w:type="gramEnd"/>
    </w:p>
    <w:p w:rsidR="00D96E8C" w:rsidRPr="007521E3" w:rsidRDefault="00D96E8C" w:rsidP="00D96E8C">
      <w:pPr>
        <w:jc w:val="both"/>
        <w:rPr>
          <w:sz w:val="28"/>
          <w:szCs w:val="28"/>
        </w:rPr>
      </w:pPr>
      <w:r w:rsidRPr="00A37F42">
        <w:rPr>
          <w:sz w:val="28"/>
          <w:szCs w:val="28"/>
        </w:rPr>
        <w:t xml:space="preserve">        </w:t>
      </w:r>
      <w:r w:rsidRPr="00411B7E">
        <w:rPr>
          <w:sz w:val="28"/>
          <w:szCs w:val="28"/>
        </w:rPr>
        <w:t xml:space="preserve">По КОСГУ 290 «Прочие расходы» кассовое исполнение и финансовый результат соответствуют и составили в сумме  </w:t>
      </w:r>
      <w:r>
        <w:rPr>
          <w:sz w:val="28"/>
          <w:szCs w:val="28"/>
        </w:rPr>
        <w:t>0,2</w:t>
      </w:r>
      <w:r w:rsidRPr="00411B7E">
        <w:rPr>
          <w:sz w:val="28"/>
          <w:szCs w:val="28"/>
        </w:rPr>
        <w:t xml:space="preserve"> тыс. рублей</w:t>
      </w:r>
      <w:r w:rsidRPr="007521E3">
        <w:rPr>
          <w:sz w:val="28"/>
          <w:szCs w:val="28"/>
        </w:rPr>
        <w:t xml:space="preserve">. По </w:t>
      </w:r>
      <w:proofErr w:type="gramStart"/>
      <w:r w:rsidRPr="007521E3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Pr="007521E3">
        <w:rPr>
          <w:sz w:val="28"/>
          <w:szCs w:val="28"/>
        </w:rPr>
        <w:t>ому</w:t>
      </w:r>
      <w:proofErr w:type="gramEnd"/>
      <w:r w:rsidRPr="007521E3">
        <w:rPr>
          <w:sz w:val="28"/>
          <w:szCs w:val="28"/>
        </w:rPr>
        <w:t xml:space="preserve"> КОСГУ</w:t>
      </w:r>
      <w:r>
        <w:rPr>
          <w:sz w:val="28"/>
          <w:szCs w:val="28"/>
        </w:rPr>
        <w:t xml:space="preserve"> по ф.</w:t>
      </w:r>
      <w:r w:rsidRPr="00E02798">
        <w:rPr>
          <w:sz w:val="28"/>
          <w:szCs w:val="28"/>
        </w:rPr>
        <w:t xml:space="preserve"> </w:t>
      </w:r>
      <w:r>
        <w:rPr>
          <w:sz w:val="28"/>
          <w:szCs w:val="28"/>
        </w:rPr>
        <w:t>ф.0503769 «сведения по дебиторской и кредиторской задолженности»</w:t>
      </w:r>
      <w:r w:rsidRPr="0075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числится просроченная </w:t>
      </w:r>
      <w:r w:rsidRPr="007521E3">
        <w:rPr>
          <w:sz w:val="28"/>
          <w:szCs w:val="28"/>
        </w:rPr>
        <w:t>кредиторск</w:t>
      </w:r>
      <w:r>
        <w:rPr>
          <w:sz w:val="28"/>
          <w:szCs w:val="28"/>
        </w:rPr>
        <w:t xml:space="preserve">ая </w:t>
      </w:r>
      <w:r w:rsidRPr="007521E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 по пеням в МИФНС России  №16 по Иркутской области с 2009 года в сумме 18,0 тыс. рублей.</w:t>
      </w:r>
    </w:p>
    <w:p w:rsidR="00D96E8C" w:rsidRPr="00BB2D2D" w:rsidRDefault="00D96E8C" w:rsidP="00D96E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C8A">
        <w:rPr>
          <w:color w:val="C00000"/>
          <w:sz w:val="28"/>
          <w:szCs w:val="28"/>
        </w:rPr>
        <w:t xml:space="preserve"> </w:t>
      </w:r>
      <w:r w:rsidRPr="007521E3">
        <w:rPr>
          <w:sz w:val="28"/>
          <w:szCs w:val="28"/>
        </w:rPr>
        <w:t>По</w:t>
      </w:r>
      <w:r>
        <w:rPr>
          <w:color w:val="C00000"/>
          <w:sz w:val="28"/>
          <w:szCs w:val="28"/>
        </w:rPr>
        <w:t xml:space="preserve"> </w:t>
      </w:r>
      <w:r w:rsidRPr="00E26AE6">
        <w:rPr>
          <w:sz w:val="28"/>
          <w:szCs w:val="28"/>
        </w:rPr>
        <w:t>КОСГУ 340</w:t>
      </w:r>
      <w:r>
        <w:rPr>
          <w:sz w:val="28"/>
          <w:szCs w:val="28"/>
        </w:rPr>
        <w:t xml:space="preserve"> </w:t>
      </w:r>
      <w:r w:rsidRPr="00E26AE6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</w:t>
      </w:r>
      <w:r w:rsidRPr="00E26AE6">
        <w:rPr>
          <w:sz w:val="28"/>
          <w:szCs w:val="28"/>
        </w:rPr>
        <w:t xml:space="preserve"> материальных запасов» </w:t>
      </w:r>
      <w:r>
        <w:rPr>
          <w:sz w:val="28"/>
          <w:szCs w:val="28"/>
        </w:rPr>
        <w:t>п</w:t>
      </w:r>
      <w:r w:rsidRPr="00E26AE6">
        <w:rPr>
          <w:sz w:val="28"/>
          <w:szCs w:val="28"/>
        </w:rPr>
        <w:t xml:space="preserve">ревышение финансового результата над кассовым исполнением составило </w:t>
      </w:r>
      <w:r>
        <w:rPr>
          <w:sz w:val="28"/>
          <w:szCs w:val="28"/>
        </w:rPr>
        <w:t xml:space="preserve">в сумме 11,5 </w:t>
      </w:r>
      <w:r w:rsidRPr="00E26AE6">
        <w:rPr>
          <w:sz w:val="28"/>
          <w:szCs w:val="28"/>
        </w:rPr>
        <w:t xml:space="preserve">тыс. рублей. </w:t>
      </w:r>
      <w:r w:rsidRPr="00BB2D2D">
        <w:rPr>
          <w:sz w:val="28"/>
          <w:szCs w:val="28"/>
        </w:rPr>
        <w:t xml:space="preserve">Превышение произошло за счет поступления материальных запасов от Комитета ЖКХ администрации муниципального образования «Эхирит-Булагатский район».   </w:t>
      </w:r>
    </w:p>
    <w:p w:rsidR="00D96E8C" w:rsidRPr="001F0EB7" w:rsidRDefault="00D96E8C" w:rsidP="00D96E8C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B00">
        <w:rPr>
          <w:sz w:val="28"/>
          <w:szCs w:val="28"/>
        </w:rPr>
        <w:t xml:space="preserve"> </w:t>
      </w:r>
      <w:r w:rsidRPr="001F0E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F0EB7">
        <w:rPr>
          <w:b/>
          <w:sz w:val="28"/>
          <w:szCs w:val="28"/>
        </w:rPr>
        <w:t xml:space="preserve"> год </w:t>
      </w:r>
    </w:p>
    <w:p w:rsidR="00D96E8C" w:rsidRDefault="00D96E8C" w:rsidP="00D9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70F">
        <w:rPr>
          <w:sz w:val="28"/>
          <w:szCs w:val="28"/>
        </w:rPr>
        <w:t>Превышение кассов</w:t>
      </w:r>
      <w:r>
        <w:rPr>
          <w:sz w:val="28"/>
          <w:szCs w:val="28"/>
        </w:rPr>
        <w:t>ого</w:t>
      </w:r>
      <w:r w:rsidRPr="0015170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над </w:t>
      </w:r>
      <w:r w:rsidRPr="0015170F">
        <w:rPr>
          <w:sz w:val="28"/>
          <w:szCs w:val="28"/>
        </w:rPr>
        <w:t>финансов</w:t>
      </w:r>
      <w:r>
        <w:rPr>
          <w:sz w:val="28"/>
          <w:szCs w:val="28"/>
        </w:rPr>
        <w:t>ым</w:t>
      </w:r>
      <w:r w:rsidRPr="0015170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</w:t>
      </w:r>
      <w:r w:rsidRPr="0015170F">
        <w:rPr>
          <w:sz w:val="28"/>
          <w:szCs w:val="28"/>
        </w:rPr>
        <w:t xml:space="preserve"> по КОСГУ 223 «Коммунальные </w:t>
      </w:r>
      <w:r w:rsidRPr="00A37F42">
        <w:rPr>
          <w:sz w:val="28"/>
          <w:szCs w:val="28"/>
        </w:rPr>
        <w:t xml:space="preserve">услуги» составило </w:t>
      </w:r>
      <w:r>
        <w:rPr>
          <w:sz w:val="28"/>
          <w:szCs w:val="28"/>
        </w:rPr>
        <w:t>38,5 тыс. рублей</w:t>
      </w:r>
      <w:r w:rsidRPr="00867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из-за наличия кредиторской </w:t>
      </w:r>
      <w:r w:rsidRPr="0015170F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15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начало года и образования кредиторской задолженности на конец года в сумме 36,7 тыс. рублей, </w:t>
      </w:r>
      <w:r w:rsidRPr="00A92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не соответствует ф.0503769 «сведения по дебиторской и кредиторской задолженности» в сумме </w:t>
      </w:r>
      <w:r w:rsidRPr="00A92F09">
        <w:rPr>
          <w:b/>
          <w:sz w:val="28"/>
          <w:szCs w:val="28"/>
        </w:rPr>
        <w:t>8,0</w:t>
      </w:r>
      <w:r>
        <w:rPr>
          <w:sz w:val="28"/>
          <w:szCs w:val="28"/>
        </w:rPr>
        <w:t xml:space="preserve"> тыс. рублей.</w:t>
      </w:r>
    </w:p>
    <w:p w:rsidR="00D96E8C" w:rsidRPr="00B63388" w:rsidRDefault="00D96E8C" w:rsidP="00D96E8C">
      <w:pPr>
        <w:jc w:val="both"/>
        <w:rPr>
          <w:sz w:val="28"/>
          <w:szCs w:val="28"/>
        </w:rPr>
      </w:pPr>
      <w:r w:rsidRPr="00A37F42">
        <w:rPr>
          <w:sz w:val="28"/>
          <w:szCs w:val="28"/>
        </w:rPr>
        <w:t xml:space="preserve">        </w:t>
      </w:r>
      <w:r w:rsidRPr="007A635E">
        <w:rPr>
          <w:sz w:val="28"/>
          <w:szCs w:val="28"/>
        </w:rPr>
        <w:t>Превышение финансового результата над кассовым исполнением по КОСГУ 310 «</w:t>
      </w:r>
      <w:r>
        <w:rPr>
          <w:sz w:val="28"/>
          <w:szCs w:val="28"/>
        </w:rPr>
        <w:t>Увеличение стоимости основных с</w:t>
      </w:r>
      <w:r w:rsidRPr="007A635E">
        <w:rPr>
          <w:sz w:val="28"/>
          <w:szCs w:val="28"/>
        </w:rPr>
        <w:t xml:space="preserve">редств» составило </w:t>
      </w:r>
      <w:r>
        <w:rPr>
          <w:sz w:val="28"/>
          <w:szCs w:val="28"/>
        </w:rPr>
        <w:t>20,0</w:t>
      </w:r>
      <w:r w:rsidRPr="007A635E">
        <w:rPr>
          <w:sz w:val="28"/>
          <w:szCs w:val="28"/>
        </w:rPr>
        <w:t xml:space="preserve"> тыс. рублей. </w:t>
      </w:r>
      <w:r w:rsidRPr="00B63388">
        <w:rPr>
          <w:sz w:val="28"/>
          <w:szCs w:val="28"/>
        </w:rPr>
        <w:t>Превышение произошло за счет безвозмездного поступления основных средств на праве оперативного управления от КУМИ администрации муниципального образования «Эхирит-Булагатский район» или Комитета ЖКХ</w:t>
      </w:r>
    </w:p>
    <w:p w:rsidR="00D96E8C" w:rsidRDefault="00D96E8C" w:rsidP="00B63388">
      <w:pPr>
        <w:jc w:val="both"/>
        <w:rPr>
          <w:sz w:val="28"/>
          <w:szCs w:val="28"/>
        </w:rPr>
      </w:pPr>
      <w:r w:rsidRPr="000C5C8A">
        <w:rPr>
          <w:color w:val="C00000"/>
          <w:sz w:val="28"/>
          <w:szCs w:val="28"/>
        </w:rPr>
        <w:t xml:space="preserve">      </w:t>
      </w:r>
      <w:r w:rsidRPr="00331FD7">
        <w:rPr>
          <w:sz w:val="28"/>
          <w:szCs w:val="28"/>
        </w:rPr>
        <w:t xml:space="preserve">  </w:t>
      </w:r>
      <w:r w:rsidR="00B63388" w:rsidRPr="00331FD7">
        <w:rPr>
          <w:b/>
          <w:sz w:val="28"/>
          <w:szCs w:val="28"/>
        </w:rPr>
        <w:t>При проверке использования субсидии на оплату труда и начисления на нее</w:t>
      </w:r>
      <w:r w:rsidR="00B63388" w:rsidRPr="00331FD7">
        <w:rPr>
          <w:sz w:val="28"/>
          <w:szCs w:val="28"/>
        </w:rPr>
        <w:t xml:space="preserve"> </w:t>
      </w:r>
      <w:r w:rsidRPr="00331FD7">
        <w:rPr>
          <w:sz w:val="28"/>
          <w:szCs w:val="28"/>
        </w:rPr>
        <w:t xml:space="preserve">было  проверено правильность составления  штатного расписания, </w:t>
      </w:r>
      <w:r>
        <w:rPr>
          <w:sz w:val="28"/>
          <w:szCs w:val="28"/>
        </w:rPr>
        <w:t>табелей учета использования рабочего времени, приказов по личному составу, расчетно-платежных ведомостей, платежных ведомостей, расчетов об исчислении среднего заработка при предоставлении отпуска,   Годового отчета за 2015-2016 годы.</w:t>
      </w:r>
    </w:p>
    <w:p w:rsidR="00D96E8C" w:rsidRPr="00492631" w:rsidRDefault="00B63388" w:rsidP="00D96E8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2015 году п</w:t>
      </w:r>
      <w:r w:rsidR="00D96E8C" w:rsidRPr="00612AD1">
        <w:rPr>
          <w:sz w:val="28"/>
          <w:szCs w:val="28"/>
        </w:rPr>
        <w:t>ри сопоставлении ведомости начисления заработной платы</w:t>
      </w:r>
      <w:r w:rsidR="002519ED">
        <w:rPr>
          <w:sz w:val="28"/>
          <w:szCs w:val="28"/>
        </w:rPr>
        <w:t xml:space="preserve"> (46 619,83 рублей)</w:t>
      </w:r>
      <w:r w:rsidR="00607CCB">
        <w:rPr>
          <w:sz w:val="28"/>
          <w:szCs w:val="28"/>
        </w:rPr>
        <w:t xml:space="preserve"> </w:t>
      </w:r>
      <w:r w:rsidR="00D96E8C" w:rsidRPr="00612AD1">
        <w:rPr>
          <w:sz w:val="28"/>
          <w:szCs w:val="28"/>
        </w:rPr>
        <w:t>с отчетностью по ф. 0503769 «сведения по дебиторской и кредиторской задолженности»</w:t>
      </w:r>
      <w:r w:rsidR="002519ED">
        <w:rPr>
          <w:sz w:val="28"/>
          <w:szCs w:val="28"/>
        </w:rPr>
        <w:t xml:space="preserve"> (75353,25 рублей)</w:t>
      </w:r>
      <w:r w:rsidR="00D96E8C" w:rsidRPr="00612AD1">
        <w:rPr>
          <w:sz w:val="28"/>
          <w:szCs w:val="28"/>
        </w:rPr>
        <w:t xml:space="preserve"> показала, что данная </w:t>
      </w:r>
      <w:r w:rsidR="00D96E8C" w:rsidRPr="00612AD1">
        <w:rPr>
          <w:sz w:val="28"/>
          <w:szCs w:val="28"/>
        </w:rPr>
        <w:lastRenderedPageBreak/>
        <w:t xml:space="preserve">задолженность </w:t>
      </w:r>
      <w:r w:rsidR="00D96E8C">
        <w:rPr>
          <w:sz w:val="28"/>
          <w:szCs w:val="28"/>
        </w:rPr>
        <w:t xml:space="preserve"> не </w:t>
      </w:r>
      <w:r w:rsidR="00D96E8C" w:rsidRPr="00612AD1">
        <w:rPr>
          <w:sz w:val="28"/>
          <w:szCs w:val="28"/>
        </w:rPr>
        <w:t>соответствует кредитор</w:t>
      </w:r>
      <w:r w:rsidR="00D96E8C">
        <w:rPr>
          <w:sz w:val="28"/>
          <w:szCs w:val="28"/>
        </w:rPr>
        <w:t>ской задолженности по ф. 0503769. Разница составила</w:t>
      </w:r>
      <w:r w:rsidR="00D96E8C" w:rsidRPr="00612AD1">
        <w:rPr>
          <w:sz w:val="28"/>
          <w:szCs w:val="28"/>
        </w:rPr>
        <w:t xml:space="preserve"> в сумме </w:t>
      </w:r>
      <w:r w:rsidR="00D96E8C" w:rsidRPr="00492631">
        <w:rPr>
          <w:b/>
          <w:sz w:val="28"/>
          <w:szCs w:val="28"/>
        </w:rPr>
        <w:t xml:space="preserve">28 733,42 рублей. </w:t>
      </w:r>
    </w:p>
    <w:p w:rsidR="00D96E8C" w:rsidRPr="00B06ECE" w:rsidRDefault="00D96E8C" w:rsidP="00D96E8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9ED">
        <w:rPr>
          <w:sz w:val="28"/>
          <w:szCs w:val="28"/>
        </w:rPr>
        <w:t>В 2016 году п</w:t>
      </w:r>
      <w:r w:rsidRPr="00612AD1">
        <w:rPr>
          <w:sz w:val="28"/>
          <w:szCs w:val="28"/>
        </w:rPr>
        <w:t>ри сопоставлении ведомости начисления заработной платы</w:t>
      </w:r>
      <w:r w:rsidR="007F1645">
        <w:rPr>
          <w:sz w:val="28"/>
          <w:szCs w:val="28"/>
        </w:rPr>
        <w:t xml:space="preserve"> (-16120,26 рублей)</w:t>
      </w:r>
      <w:r w:rsidRPr="00612AD1">
        <w:rPr>
          <w:sz w:val="28"/>
          <w:szCs w:val="28"/>
        </w:rPr>
        <w:t xml:space="preserve"> с отчетностью по ф. 0503769 «сведения по дебиторской и кредиторской задолженности»</w:t>
      </w:r>
      <w:r w:rsidR="002519ED">
        <w:rPr>
          <w:sz w:val="28"/>
          <w:szCs w:val="28"/>
        </w:rPr>
        <w:t xml:space="preserve"> (0 рублей)</w:t>
      </w:r>
      <w:r w:rsidRPr="00612AD1">
        <w:rPr>
          <w:sz w:val="28"/>
          <w:szCs w:val="28"/>
        </w:rPr>
        <w:t xml:space="preserve"> показала, что данная задолженность </w:t>
      </w:r>
      <w:r>
        <w:rPr>
          <w:sz w:val="28"/>
          <w:szCs w:val="28"/>
        </w:rPr>
        <w:t xml:space="preserve"> не </w:t>
      </w:r>
      <w:r w:rsidRPr="00612AD1">
        <w:rPr>
          <w:sz w:val="28"/>
          <w:szCs w:val="28"/>
        </w:rPr>
        <w:t>соответствует</w:t>
      </w:r>
      <w:r>
        <w:rPr>
          <w:sz w:val="28"/>
          <w:szCs w:val="28"/>
        </w:rPr>
        <w:t>.</w:t>
      </w:r>
      <w:r w:rsidRPr="0061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Разница составила в сумме </w:t>
      </w:r>
      <w:r w:rsidRPr="00492631">
        <w:rPr>
          <w:b/>
          <w:sz w:val="28"/>
          <w:szCs w:val="28"/>
        </w:rPr>
        <w:t>16120,26</w:t>
      </w:r>
      <w:r>
        <w:rPr>
          <w:sz w:val="28"/>
          <w:szCs w:val="28"/>
        </w:rPr>
        <w:t xml:space="preserve"> </w:t>
      </w:r>
      <w:r w:rsidRPr="00B06ECE">
        <w:rPr>
          <w:b/>
          <w:sz w:val="28"/>
          <w:szCs w:val="28"/>
        </w:rPr>
        <w:t xml:space="preserve">рублей. </w:t>
      </w:r>
    </w:p>
    <w:p w:rsidR="00D96E8C" w:rsidRPr="009F7C08" w:rsidRDefault="00D96E8C" w:rsidP="00B06EC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06ECE" w:rsidRPr="00331FD7">
        <w:rPr>
          <w:b/>
          <w:sz w:val="28"/>
          <w:szCs w:val="28"/>
        </w:rPr>
        <w:t xml:space="preserve">При проверке использования средств при организации питания выявлено </w:t>
      </w:r>
      <w:r w:rsidR="00B06ECE">
        <w:rPr>
          <w:sz w:val="28"/>
          <w:szCs w:val="28"/>
        </w:rPr>
        <w:t>что, в</w:t>
      </w:r>
      <w:r w:rsidRPr="009F7C08">
        <w:rPr>
          <w:sz w:val="28"/>
          <w:szCs w:val="28"/>
        </w:rPr>
        <w:t xml:space="preserve"> нарушение п.119 Инструкции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01.12.2010г не формировались оборотные ведомости по нефинансовым активам и накопительные ведомости</w:t>
      </w:r>
      <w:proofErr w:type="gramEnd"/>
      <w:r w:rsidRPr="009F7C08">
        <w:rPr>
          <w:sz w:val="28"/>
          <w:szCs w:val="28"/>
        </w:rPr>
        <w:t xml:space="preserve"> по приходу продуктов питания.</w:t>
      </w:r>
    </w:p>
    <w:p w:rsidR="00D96E8C" w:rsidRDefault="00D96E8C" w:rsidP="00D96E8C">
      <w:pPr>
        <w:tabs>
          <w:tab w:val="left" w:pos="709"/>
        </w:tabs>
        <w:jc w:val="both"/>
        <w:rPr>
          <w:sz w:val="28"/>
          <w:szCs w:val="28"/>
        </w:rPr>
      </w:pPr>
      <w:r w:rsidRPr="00BB0A4A">
        <w:rPr>
          <w:sz w:val="28"/>
          <w:szCs w:val="28"/>
        </w:rPr>
        <w:t xml:space="preserve">         </w:t>
      </w:r>
      <w:proofErr w:type="gramStart"/>
      <w:r w:rsidRPr="00BB0A4A">
        <w:rPr>
          <w:sz w:val="28"/>
          <w:szCs w:val="28"/>
        </w:rPr>
        <w:t>Учет родительской платы осуществлен с нарушениями Федерального закона «О бухгалтерском учете» 402-ФЗ от 6 декабря 2011 года, приказа Минфина от 01.12.2010г № 157-н  «</w:t>
      </w:r>
      <w:r w:rsidRPr="009F7C08">
        <w:rPr>
          <w:sz w:val="28"/>
          <w:szCs w:val="28"/>
        </w:rPr>
        <w:t xml:space="preserve">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и Указаний ЦБ от 11.03.2014г</w:t>
      </w:r>
      <w:proofErr w:type="gramEnd"/>
      <w:r>
        <w:rPr>
          <w:sz w:val="28"/>
          <w:szCs w:val="28"/>
        </w:rPr>
        <w:t xml:space="preserve">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Отсутствуют первичные документы: ведомость начисления родительской платы, приходный и расходный кассовый ордер, кассовая книга. Сумма начислений и задолженности по  родительской плате  не отражены в бухгалтерском учете.</w:t>
      </w:r>
    </w:p>
    <w:p w:rsidR="00D96E8C" w:rsidRDefault="00D96E8C" w:rsidP="00D96E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табелей учета посещаемости детей сумма начисленной родительской платы должна составлять в 2015 году – </w:t>
      </w:r>
      <w:r w:rsidRPr="00307088">
        <w:rPr>
          <w:b/>
          <w:sz w:val="28"/>
          <w:szCs w:val="28"/>
        </w:rPr>
        <w:t xml:space="preserve">212 481,1 </w:t>
      </w:r>
      <w:r w:rsidRPr="008A2EC8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2016 году – </w:t>
      </w:r>
      <w:r w:rsidRPr="00307088">
        <w:rPr>
          <w:b/>
          <w:sz w:val="28"/>
          <w:szCs w:val="28"/>
        </w:rPr>
        <w:t xml:space="preserve">227 143,33 </w:t>
      </w:r>
      <w:r w:rsidRPr="008A2EC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Кредиторская задолженность на 01.01.2016г  без учета задолженности на начало года, так как отсутствуют данные, должна составлять в сумме </w:t>
      </w:r>
      <w:r w:rsidRPr="008A2EC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8A2EC8">
        <w:rPr>
          <w:b/>
          <w:sz w:val="28"/>
          <w:szCs w:val="28"/>
        </w:rPr>
        <w:t>289,84</w:t>
      </w:r>
      <w:r>
        <w:rPr>
          <w:sz w:val="28"/>
          <w:szCs w:val="28"/>
        </w:rPr>
        <w:t xml:space="preserve"> рублей, на 01.01.2017 г – в сумме </w:t>
      </w:r>
      <w:r w:rsidRPr="008A2EC8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  <w:r w:rsidRPr="008A2EC8">
        <w:rPr>
          <w:b/>
          <w:sz w:val="28"/>
          <w:szCs w:val="28"/>
        </w:rPr>
        <w:t>833,17</w:t>
      </w:r>
      <w:r>
        <w:rPr>
          <w:sz w:val="28"/>
          <w:szCs w:val="28"/>
        </w:rPr>
        <w:t xml:space="preserve"> рублей. </w:t>
      </w:r>
    </w:p>
    <w:p w:rsidR="00D96E8C" w:rsidRDefault="00D96E8C" w:rsidP="00D96E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Учет ведется только по собранным и внесенным суммам на лицевой счет Учреждения. Родительская плата, поступившая на лицевой счет, отражена в бюджетной отчетности по форме 0503737 «об исполнении учреждения плана его финансово-хозяйственной деятельности». В 2015 году составила в сумме 194191,26 рублей и  полностью </w:t>
      </w:r>
      <w:proofErr w:type="gramStart"/>
      <w:r>
        <w:rPr>
          <w:sz w:val="28"/>
          <w:szCs w:val="28"/>
        </w:rPr>
        <w:t>использована</w:t>
      </w:r>
      <w:proofErr w:type="gramEnd"/>
      <w:r>
        <w:rPr>
          <w:sz w:val="28"/>
          <w:szCs w:val="28"/>
        </w:rPr>
        <w:t xml:space="preserve"> на приобретение продуктов питания. В 2016 году родительская плата составила в сумме 191600 рублей, из  них  в сумме 187850 рублей была использована на приобретение продуктов питания и в сумме 3750 рублей на уплату налогов, пеней.             </w:t>
      </w:r>
    </w:p>
    <w:p w:rsidR="00D96E8C" w:rsidRDefault="00D96E8C" w:rsidP="00D96E8C">
      <w:pPr>
        <w:tabs>
          <w:tab w:val="left" w:pos="709"/>
        </w:tabs>
        <w:jc w:val="both"/>
        <w:rPr>
          <w:sz w:val="28"/>
          <w:szCs w:val="28"/>
        </w:rPr>
      </w:pPr>
    </w:p>
    <w:p w:rsidR="00F05D9D" w:rsidRDefault="00F05D9D" w:rsidP="002D1D86">
      <w:pPr>
        <w:tabs>
          <w:tab w:val="left" w:pos="540"/>
          <w:tab w:val="left" w:pos="851"/>
        </w:tabs>
        <w:ind w:firstLine="540"/>
        <w:jc w:val="both"/>
        <w:rPr>
          <w:b/>
          <w:sz w:val="28"/>
        </w:rPr>
      </w:pPr>
      <w:r w:rsidRPr="002A7B50">
        <w:rPr>
          <w:b/>
          <w:sz w:val="28"/>
          <w:szCs w:val="28"/>
        </w:rPr>
        <w:t xml:space="preserve"> </w:t>
      </w:r>
      <w:r w:rsidR="006348C5" w:rsidRPr="001A6406">
        <w:rPr>
          <w:b/>
          <w:sz w:val="28"/>
        </w:rPr>
        <w:t>8. Выводы</w:t>
      </w:r>
      <w:r w:rsidR="00F83C21">
        <w:rPr>
          <w:b/>
          <w:sz w:val="28"/>
        </w:rPr>
        <w:t xml:space="preserve"> и предложения:</w:t>
      </w:r>
    </w:p>
    <w:p w:rsidR="00745AEB" w:rsidRDefault="00745AEB" w:rsidP="00745AE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64CD" w:rsidRPr="00114D04">
        <w:rPr>
          <w:sz w:val="28"/>
          <w:szCs w:val="28"/>
        </w:rPr>
        <w:t xml:space="preserve">Сумма финансовых нарушений составила   </w:t>
      </w:r>
      <w:r w:rsidR="008C5553" w:rsidRPr="008C5553">
        <w:rPr>
          <w:b/>
          <w:sz w:val="28"/>
          <w:szCs w:val="28"/>
        </w:rPr>
        <w:t>572</w:t>
      </w:r>
      <w:r w:rsidR="008C5553">
        <w:rPr>
          <w:b/>
          <w:sz w:val="28"/>
          <w:szCs w:val="28"/>
        </w:rPr>
        <w:t xml:space="preserve"> </w:t>
      </w:r>
      <w:r w:rsidR="008C5553" w:rsidRPr="008C5553">
        <w:rPr>
          <w:b/>
          <w:sz w:val="28"/>
          <w:szCs w:val="28"/>
        </w:rPr>
        <w:t>60</w:t>
      </w:r>
      <w:r w:rsidR="006F4CC1">
        <w:rPr>
          <w:b/>
          <w:sz w:val="28"/>
          <w:szCs w:val="28"/>
        </w:rPr>
        <w:t>1</w:t>
      </w:r>
      <w:r w:rsidR="008C5553" w:rsidRPr="008C5553">
        <w:rPr>
          <w:b/>
          <w:sz w:val="28"/>
          <w:szCs w:val="28"/>
        </w:rPr>
        <w:t>,12</w:t>
      </w:r>
      <w:r w:rsidR="00D064CD" w:rsidRPr="00C7266C">
        <w:rPr>
          <w:sz w:val="28"/>
          <w:szCs w:val="28"/>
        </w:rPr>
        <w:t xml:space="preserve"> рублей</w:t>
      </w:r>
      <w:r w:rsidR="00D064CD" w:rsidRPr="00114D04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числе:</w:t>
      </w:r>
    </w:p>
    <w:p w:rsidR="00745AEB" w:rsidRDefault="00745AEB" w:rsidP="00745AE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4CD" w:rsidRPr="0011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в</w:t>
      </w:r>
      <w:r w:rsidRPr="00433F27">
        <w:rPr>
          <w:sz w:val="28"/>
          <w:szCs w:val="28"/>
        </w:rPr>
        <w:t xml:space="preserve"> нарушение ст.9</w:t>
      </w:r>
      <w:r>
        <w:rPr>
          <w:sz w:val="28"/>
          <w:szCs w:val="28"/>
        </w:rPr>
        <w:t>,</w:t>
      </w:r>
      <w:r w:rsidRPr="006C5AFC">
        <w:rPr>
          <w:sz w:val="28"/>
          <w:szCs w:val="28"/>
        </w:rPr>
        <w:t xml:space="preserve">10 </w:t>
      </w:r>
      <w:r w:rsidRPr="006C5AFC">
        <w:rPr>
          <w:bCs/>
          <w:kern w:val="36"/>
          <w:sz w:val="28"/>
          <w:szCs w:val="28"/>
        </w:rPr>
        <w:t>Федерального закона "О бухгалтерском учете" от 06.12.2011 N 402-ФЗ</w:t>
      </w:r>
      <w:r>
        <w:rPr>
          <w:bCs/>
          <w:kern w:val="36"/>
          <w:sz w:val="28"/>
          <w:szCs w:val="28"/>
        </w:rPr>
        <w:t>,</w:t>
      </w:r>
      <w:r w:rsidRPr="00745AEB">
        <w:rPr>
          <w:sz w:val="28"/>
          <w:szCs w:val="28"/>
        </w:rPr>
        <w:t xml:space="preserve"> </w:t>
      </w:r>
      <w:r w:rsidRPr="00BB0A4A">
        <w:rPr>
          <w:sz w:val="28"/>
          <w:szCs w:val="28"/>
        </w:rPr>
        <w:t>приказа Минфина от 01.12.2010г № 157-н</w:t>
      </w:r>
      <w:r w:rsidRPr="00745AEB">
        <w:rPr>
          <w:sz w:val="28"/>
          <w:szCs w:val="28"/>
        </w:rPr>
        <w:t xml:space="preserve"> </w:t>
      </w:r>
      <w:r>
        <w:rPr>
          <w:sz w:val="28"/>
          <w:szCs w:val="28"/>
        </w:rPr>
        <w:t>и Указаний ЦБ от 11.03.2014г №3210-У</w:t>
      </w:r>
      <w:r w:rsidRPr="006C5AFC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 учету родительской платы</w:t>
      </w:r>
      <w:r w:rsidR="00817EE2">
        <w:rPr>
          <w:sz w:val="28"/>
          <w:szCs w:val="28"/>
        </w:rPr>
        <w:t xml:space="preserve"> и заработной платы</w:t>
      </w:r>
      <w:r>
        <w:rPr>
          <w:sz w:val="28"/>
          <w:szCs w:val="28"/>
        </w:rPr>
        <w:t>:</w:t>
      </w:r>
    </w:p>
    <w:p w:rsidR="00745AEB" w:rsidRDefault="00745AEB" w:rsidP="00745A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7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– в сумме </w:t>
      </w:r>
      <w:r w:rsidR="00817EE2">
        <w:rPr>
          <w:b/>
          <w:sz w:val="28"/>
          <w:szCs w:val="28"/>
        </w:rPr>
        <w:t>241 214,52</w:t>
      </w:r>
      <w:r w:rsidRPr="00307088">
        <w:rPr>
          <w:b/>
          <w:sz w:val="28"/>
          <w:szCs w:val="28"/>
        </w:rPr>
        <w:t xml:space="preserve"> </w:t>
      </w:r>
      <w:r w:rsidRPr="008A2EC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45AEB" w:rsidRDefault="00745AEB" w:rsidP="00817E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2016 году – в сумме </w:t>
      </w:r>
      <w:r w:rsidR="00817EE2">
        <w:rPr>
          <w:b/>
          <w:sz w:val="28"/>
          <w:szCs w:val="28"/>
        </w:rPr>
        <w:t>243 263,59</w:t>
      </w:r>
      <w:r w:rsidRPr="00307088">
        <w:rPr>
          <w:b/>
          <w:sz w:val="28"/>
          <w:szCs w:val="28"/>
        </w:rPr>
        <w:t xml:space="preserve"> </w:t>
      </w:r>
      <w:r w:rsidRPr="008A2EC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17EE2" w:rsidRDefault="00745AEB" w:rsidP="00745AE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6C5AFC">
        <w:rPr>
          <w:sz w:val="28"/>
          <w:szCs w:val="28"/>
        </w:rPr>
        <w:t xml:space="preserve">        </w:t>
      </w:r>
      <w:r w:rsidR="00817EE2">
        <w:rPr>
          <w:sz w:val="28"/>
          <w:szCs w:val="28"/>
        </w:rPr>
        <w:t xml:space="preserve"> </w:t>
      </w:r>
      <w:r w:rsidRPr="006C5AFC">
        <w:rPr>
          <w:sz w:val="28"/>
          <w:szCs w:val="28"/>
        </w:rPr>
        <w:t xml:space="preserve"> - в нарушение ст.13</w:t>
      </w:r>
      <w:r w:rsidRPr="006C5AFC">
        <w:rPr>
          <w:bCs/>
          <w:kern w:val="36"/>
        </w:rPr>
        <w:t xml:space="preserve"> </w:t>
      </w:r>
      <w:r w:rsidRPr="006C5AFC">
        <w:rPr>
          <w:bCs/>
          <w:kern w:val="36"/>
          <w:sz w:val="28"/>
          <w:szCs w:val="28"/>
        </w:rPr>
        <w:t xml:space="preserve">Федерального закона "О бухгалтерском учете" от 06.12.2011 N 402-ФЗ </w:t>
      </w:r>
      <w:r w:rsidR="00817EE2">
        <w:rPr>
          <w:sz w:val="28"/>
          <w:szCs w:val="28"/>
        </w:rPr>
        <w:t>искажение отчетных данных по кредиторской задолженности  по родительской плате и  по коммунальным услугам:</w:t>
      </w:r>
    </w:p>
    <w:p w:rsidR="00817EE2" w:rsidRDefault="00817EE2" w:rsidP="00745AE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– в сумме </w:t>
      </w:r>
      <w:r w:rsidRPr="00817EE2">
        <w:rPr>
          <w:b/>
          <w:sz w:val="28"/>
          <w:szCs w:val="28"/>
        </w:rPr>
        <w:t>26 289, 84</w:t>
      </w:r>
      <w:r>
        <w:rPr>
          <w:sz w:val="28"/>
          <w:szCs w:val="28"/>
        </w:rPr>
        <w:t xml:space="preserve"> рублей;</w:t>
      </w:r>
    </w:p>
    <w:p w:rsidR="00745AEB" w:rsidRPr="006C5AFC" w:rsidRDefault="00817EE2" w:rsidP="00817EE2">
      <w:pPr>
        <w:pStyle w:val="Iauiue"/>
        <w:numPr>
          <w:ilvl w:val="12"/>
          <w:numId w:val="0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– в сумме  </w:t>
      </w:r>
      <w:r w:rsidRPr="00817EE2">
        <w:rPr>
          <w:b/>
          <w:sz w:val="28"/>
          <w:szCs w:val="28"/>
        </w:rPr>
        <w:t>61 833,17</w:t>
      </w:r>
      <w:r>
        <w:rPr>
          <w:sz w:val="28"/>
          <w:szCs w:val="28"/>
        </w:rPr>
        <w:t xml:space="preserve"> рублей.  </w:t>
      </w:r>
    </w:p>
    <w:p w:rsidR="00167770" w:rsidRDefault="00817EE2" w:rsidP="00167770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770">
        <w:rPr>
          <w:sz w:val="28"/>
          <w:szCs w:val="28"/>
        </w:rPr>
        <w:t xml:space="preserve">По результатам контрольного мероприятия направлено представление о ненадлежащем исполнении бюджетного процесса заведующей МДОУ </w:t>
      </w:r>
      <w:proofErr w:type="spellStart"/>
      <w:r w:rsidR="00167770">
        <w:rPr>
          <w:sz w:val="28"/>
          <w:szCs w:val="28"/>
        </w:rPr>
        <w:t>Ахинский</w:t>
      </w:r>
      <w:proofErr w:type="spellEnd"/>
      <w:r w:rsidR="00167770">
        <w:rPr>
          <w:sz w:val="28"/>
          <w:szCs w:val="28"/>
        </w:rPr>
        <w:t xml:space="preserve"> детский сад №32.  </w:t>
      </w:r>
    </w:p>
    <w:p w:rsidR="00D532C7" w:rsidRDefault="00D532C7" w:rsidP="00D532C7">
      <w:pPr>
        <w:ind w:right="-1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A068A2">
        <w:rPr>
          <w:spacing w:val="-1"/>
          <w:sz w:val="28"/>
          <w:szCs w:val="28"/>
        </w:rPr>
        <w:t xml:space="preserve">редлагается </w:t>
      </w:r>
      <w:r>
        <w:rPr>
          <w:sz w:val="28"/>
          <w:szCs w:val="28"/>
        </w:rPr>
        <w:t>рассмотреть настоящее п</w:t>
      </w:r>
      <w:r w:rsidRPr="000D5403">
        <w:rPr>
          <w:sz w:val="28"/>
          <w:szCs w:val="28"/>
        </w:rPr>
        <w:t xml:space="preserve">редставление и принять меры по </w:t>
      </w:r>
      <w:r>
        <w:rPr>
          <w:sz w:val="28"/>
          <w:szCs w:val="28"/>
        </w:rPr>
        <w:t xml:space="preserve">устранению и </w:t>
      </w:r>
      <w:r w:rsidRPr="000D5403">
        <w:rPr>
          <w:sz w:val="28"/>
          <w:szCs w:val="28"/>
        </w:rPr>
        <w:t>недопущению в дальнейшем совершения нарушений законодательства Российской Федерации</w:t>
      </w:r>
      <w:r>
        <w:rPr>
          <w:sz w:val="28"/>
          <w:szCs w:val="28"/>
        </w:rPr>
        <w:t>.</w:t>
      </w:r>
    </w:p>
    <w:p w:rsidR="00DF12EC" w:rsidRDefault="00DF12EC" w:rsidP="00F05D9D">
      <w:pPr>
        <w:ind w:firstLine="720"/>
        <w:jc w:val="both"/>
        <w:rPr>
          <w:sz w:val="28"/>
          <w:szCs w:val="28"/>
        </w:rPr>
      </w:pPr>
    </w:p>
    <w:p w:rsidR="00DF12EC" w:rsidRDefault="00DF12EC" w:rsidP="00935C79">
      <w:pPr>
        <w:ind w:firstLine="720"/>
        <w:jc w:val="both"/>
        <w:rPr>
          <w:sz w:val="28"/>
          <w:szCs w:val="28"/>
        </w:rPr>
      </w:pPr>
    </w:p>
    <w:p w:rsidR="00C47027" w:rsidRDefault="00B07CB5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4FB" w:rsidRPr="00F72FA3" w:rsidRDefault="001A6406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</w:p>
    <w:p w:rsidR="00AE24FB" w:rsidRPr="00F72FA3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F72FA3">
        <w:rPr>
          <w:sz w:val="28"/>
          <w:szCs w:val="28"/>
        </w:rPr>
        <w:t>МО «</w:t>
      </w:r>
      <w:proofErr w:type="spellStart"/>
      <w:r w:rsidRPr="00F72FA3">
        <w:rPr>
          <w:sz w:val="28"/>
          <w:szCs w:val="28"/>
        </w:rPr>
        <w:t>Эхирит-Булагатский</w:t>
      </w:r>
      <w:proofErr w:type="spellEnd"/>
      <w:r w:rsidRPr="00F72FA3">
        <w:rPr>
          <w:sz w:val="28"/>
          <w:szCs w:val="28"/>
        </w:rPr>
        <w:t xml:space="preserve"> район»                                                  </w:t>
      </w:r>
      <w:proofErr w:type="spellStart"/>
      <w:r w:rsidRPr="00F72FA3">
        <w:rPr>
          <w:color w:val="000000"/>
          <w:sz w:val="28"/>
          <w:szCs w:val="28"/>
        </w:rPr>
        <w:t>Тухалова</w:t>
      </w:r>
      <w:proofErr w:type="spellEnd"/>
      <w:r w:rsidRPr="00F72FA3">
        <w:rPr>
          <w:color w:val="000000"/>
          <w:sz w:val="28"/>
          <w:szCs w:val="28"/>
        </w:rPr>
        <w:t xml:space="preserve"> Е.Н. </w:t>
      </w:r>
    </w:p>
    <w:sectPr w:rsidR="00AE24FB" w:rsidRPr="00F72FA3" w:rsidSect="007F7A2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17" w:rsidRDefault="007D0B17">
      <w:r>
        <w:separator/>
      </w:r>
    </w:p>
  </w:endnote>
  <w:endnote w:type="continuationSeparator" w:id="0">
    <w:p w:rsidR="007D0B17" w:rsidRDefault="007D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DD1C8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DD1C8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53A1">
      <w:rPr>
        <w:rStyle w:val="ae"/>
        <w:noProof/>
      </w:rPr>
      <w:t>6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17" w:rsidRDefault="007D0B17">
      <w:r>
        <w:separator/>
      </w:r>
    </w:p>
  </w:footnote>
  <w:footnote w:type="continuationSeparator" w:id="0">
    <w:p w:rsidR="007D0B17" w:rsidRDefault="007D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2030AF"/>
    <w:multiLevelType w:val="hybridMultilevel"/>
    <w:tmpl w:val="227421C0"/>
    <w:lvl w:ilvl="0" w:tplc="5CF80A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2E363B6"/>
    <w:multiLevelType w:val="hybridMultilevel"/>
    <w:tmpl w:val="C6D08C62"/>
    <w:lvl w:ilvl="0" w:tplc="0419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7291C"/>
    <w:multiLevelType w:val="hybridMultilevel"/>
    <w:tmpl w:val="0AB4F522"/>
    <w:lvl w:ilvl="0" w:tplc="A8787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6436"/>
    <w:rsid w:val="0001437F"/>
    <w:rsid w:val="0002239B"/>
    <w:rsid w:val="00035BCC"/>
    <w:rsid w:val="00036BCD"/>
    <w:rsid w:val="00041F2F"/>
    <w:rsid w:val="00043453"/>
    <w:rsid w:val="00051554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00B0"/>
    <w:rsid w:val="0009501B"/>
    <w:rsid w:val="000951EF"/>
    <w:rsid w:val="000959B2"/>
    <w:rsid w:val="000A53A1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D51B7"/>
    <w:rsid w:val="000E248C"/>
    <w:rsid w:val="000E2D58"/>
    <w:rsid w:val="000E4551"/>
    <w:rsid w:val="000F3B53"/>
    <w:rsid w:val="001068F8"/>
    <w:rsid w:val="001075AB"/>
    <w:rsid w:val="00110593"/>
    <w:rsid w:val="00112C84"/>
    <w:rsid w:val="00117B5C"/>
    <w:rsid w:val="00117B9B"/>
    <w:rsid w:val="00117C23"/>
    <w:rsid w:val="0012435A"/>
    <w:rsid w:val="001412A5"/>
    <w:rsid w:val="001419D3"/>
    <w:rsid w:val="001429DB"/>
    <w:rsid w:val="00150A09"/>
    <w:rsid w:val="001522AB"/>
    <w:rsid w:val="0016509E"/>
    <w:rsid w:val="00167770"/>
    <w:rsid w:val="00174F51"/>
    <w:rsid w:val="00180A82"/>
    <w:rsid w:val="001917A3"/>
    <w:rsid w:val="00191BF9"/>
    <w:rsid w:val="00192298"/>
    <w:rsid w:val="001922AF"/>
    <w:rsid w:val="001A0133"/>
    <w:rsid w:val="001A4885"/>
    <w:rsid w:val="001A6406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2293"/>
    <w:rsid w:val="00202C2A"/>
    <w:rsid w:val="002045F3"/>
    <w:rsid w:val="002123C8"/>
    <w:rsid w:val="00227BBB"/>
    <w:rsid w:val="00232429"/>
    <w:rsid w:val="00237E68"/>
    <w:rsid w:val="002441D2"/>
    <w:rsid w:val="00246466"/>
    <w:rsid w:val="00250D06"/>
    <w:rsid w:val="00250D13"/>
    <w:rsid w:val="002519ED"/>
    <w:rsid w:val="00255AA4"/>
    <w:rsid w:val="00261E20"/>
    <w:rsid w:val="00266659"/>
    <w:rsid w:val="00266686"/>
    <w:rsid w:val="002712C3"/>
    <w:rsid w:val="00275C1C"/>
    <w:rsid w:val="00280AFE"/>
    <w:rsid w:val="00287E0B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1D86"/>
    <w:rsid w:val="002D2E5E"/>
    <w:rsid w:val="002E0994"/>
    <w:rsid w:val="002E14A6"/>
    <w:rsid w:val="002F0414"/>
    <w:rsid w:val="002F16B3"/>
    <w:rsid w:val="0030642E"/>
    <w:rsid w:val="0031533C"/>
    <w:rsid w:val="003170A3"/>
    <w:rsid w:val="00330693"/>
    <w:rsid w:val="00331FD7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433B"/>
    <w:rsid w:val="00397ECA"/>
    <w:rsid w:val="003A0E3D"/>
    <w:rsid w:val="003A1382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B6E5E"/>
    <w:rsid w:val="004C7694"/>
    <w:rsid w:val="004D1AE8"/>
    <w:rsid w:val="004D319A"/>
    <w:rsid w:val="004D7339"/>
    <w:rsid w:val="004E0C77"/>
    <w:rsid w:val="004E2DA3"/>
    <w:rsid w:val="004E7B4D"/>
    <w:rsid w:val="004E7EBF"/>
    <w:rsid w:val="004F31A5"/>
    <w:rsid w:val="004F7AA5"/>
    <w:rsid w:val="005006CE"/>
    <w:rsid w:val="00512B1E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61D4C"/>
    <w:rsid w:val="00565C88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E5229"/>
    <w:rsid w:val="005F3992"/>
    <w:rsid w:val="006027FD"/>
    <w:rsid w:val="00602C2A"/>
    <w:rsid w:val="00607CCB"/>
    <w:rsid w:val="00616668"/>
    <w:rsid w:val="00621BBE"/>
    <w:rsid w:val="00624749"/>
    <w:rsid w:val="0062481E"/>
    <w:rsid w:val="006348C5"/>
    <w:rsid w:val="006405CA"/>
    <w:rsid w:val="00647B29"/>
    <w:rsid w:val="00652AC9"/>
    <w:rsid w:val="0065328C"/>
    <w:rsid w:val="006548B1"/>
    <w:rsid w:val="0066056B"/>
    <w:rsid w:val="00661347"/>
    <w:rsid w:val="006618D3"/>
    <w:rsid w:val="006623F0"/>
    <w:rsid w:val="00663F30"/>
    <w:rsid w:val="006648CC"/>
    <w:rsid w:val="00681472"/>
    <w:rsid w:val="00683AF3"/>
    <w:rsid w:val="00694A16"/>
    <w:rsid w:val="006B1357"/>
    <w:rsid w:val="006B7514"/>
    <w:rsid w:val="006C7265"/>
    <w:rsid w:val="006D0895"/>
    <w:rsid w:val="006D0C8C"/>
    <w:rsid w:val="006E0CFF"/>
    <w:rsid w:val="006E1CD3"/>
    <w:rsid w:val="006E3EA1"/>
    <w:rsid w:val="006E3FC0"/>
    <w:rsid w:val="006E4993"/>
    <w:rsid w:val="006E4ABA"/>
    <w:rsid w:val="006F17E1"/>
    <w:rsid w:val="006F2016"/>
    <w:rsid w:val="006F4221"/>
    <w:rsid w:val="006F4313"/>
    <w:rsid w:val="006F4B61"/>
    <w:rsid w:val="006F4CC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5AEB"/>
    <w:rsid w:val="0074635F"/>
    <w:rsid w:val="0074640D"/>
    <w:rsid w:val="00750532"/>
    <w:rsid w:val="00770044"/>
    <w:rsid w:val="007746A4"/>
    <w:rsid w:val="00783409"/>
    <w:rsid w:val="0078597C"/>
    <w:rsid w:val="00787021"/>
    <w:rsid w:val="00787E24"/>
    <w:rsid w:val="00794941"/>
    <w:rsid w:val="00797B00"/>
    <w:rsid w:val="007A2CD4"/>
    <w:rsid w:val="007A2DB5"/>
    <w:rsid w:val="007A556E"/>
    <w:rsid w:val="007A587D"/>
    <w:rsid w:val="007A74C5"/>
    <w:rsid w:val="007A7CDB"/>
    <w:rsid w:val="007C06D3"/>
    <w:rsid w:val="007C3C57"/>
    <w:rsid w:val="007C50AC"/>
    <w:rsid w:val="007D0B17"/>
    <w:rsid w:val="007D235D"/>
    <w:rsid w:val="007E49B3"/>
    <w:rsid w:val="007F1645"/>
    <w:rsid w:val="007F4344"/>
    <w:rsid w:val="007F7A2F"/>
    <w:rsid w:val="008146B7"/>
    <w:rsid w:val="0081721F"/>
    <w:rsid w:val="00817C8B"/>
    <w:rsid w:val="00817EE2"/>
    <w:rsid w:val="0083735A"/>
    <w:rsid w:val="00837F1E"/>
    <w:rsid w:val="0084654E"/>
    <w:rsid w:val="00852361"/>
    <w:rsid w:val="008535D2"/>
    <w:rsid w:val="0085708E"/>
    <w:rsid w:val="00857379"/>
    <w:rsid w:val="00863CF5"/>
    <w:rsid w:val="00867099"/>
    <w:rsid w:val="008673E4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C5553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658E3"/>
    <w:rsid w:val="009778EA"/>
    <w:rsid w:val="009A6160"/>
    <w:rsid w:val="009A6F2A"/>
    <w:rsid w:val="009B7DFD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6DB"/>
    <w:rsid w:val="00A247C2"/>
    <w:rsid w:val="00A25BE0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25AE"/>
    <w:rsid w:val="00A744B9"/>
    <w:rsid w:val="00A749BB"/>
    <w:rsid w:val="00A90A65"/>
    <w:rsid w:val="00A92D85"/>
    <w:rsid w:val="00AB34D0"/>
    <w:rsid w:val="00AB5F5B"/>
    <w:rsid w:val="00AB6F67"/>
    <w:rsid w:val="00AC14AF"/>
    <w:rsid w:val="00AD0691"/>
    <w:rsid w:val="00AD2874"/>
    <w:rsid w:val="00AD6914"/>
    <w:rsid w:val="00AD7EFC"/>
    <w:rsid w:val="00AE0D49"/>
    <w:rsid w:val="00AE24FB"/>
    <w:rsid w:val="00AE309C"/>
    <w:rsid w:val="00AE4A50"/>
    <w:rsid w:val="00AE57FF"/>
    <w:rsid w:val="00AE6CBE"/>
    <w:rsid w:val="00B01AD7"/>
    <w:rsid w:val="00B06ECE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63388"/>
    <w:rsid w:val="00B64600"/>
    <w:rsid w:val="00B72BA0"/>
    <w:rsid w:val="00B815B9"/>
    <w:rsid w:val="00B865E2"/>
    <w:rsid w:val="00B979E4"/>
    <w:rsid w:val="00BA7A64"/>
    <w:rsid w:val="00BB0B65"/>
    <w:rsid w:val="00BB2D2D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63C83"/>
    <w:rsid w:val="00C66E55"/>
    <w:rsid w:val="00C821B8"/>
    <w:rsid w:val="00C82F15"/>
    <w:rsid w:val="00C86398"/>
    <w:rsid w:val="00C91788"/>
    <w:rsid w:val="00C91FFB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2D47"/>
    <w:rsid w:val="00CE659B"/>
    <w:rsid w:val="00CE7C8D"/>
    <w:rsid w:val="00CF2635"/>
    <w:rsid w:val="00CF4343"/>
    <w:rsid w:val="00CF67C9"/>
    <w:rsid w:val="00CF6D7E"/>
    <w:rsid w:val="00CF7ABF"/>
    <w:rsid w:val="00D064CD"/>
    <w:rsid w:val="00D06691"/>
    <w:rsid w:val="00D070EC"/>
    <w:rsid w:val="00D14F34"/>
    <w:rsid w:val="00D21760"/>
    <w:rsid w:val="00D21BA1"/>
    <w:rsid w:val="00D24C26"/>
    <w:rsid w:val="00D33B5B"/>
    <w:rsid w:val="00D439B4"/>
    <w:rsid w:val="00D5009A"/>
    <w:rsid w:val="00D50517"/>
    <w:rsid w:val="00D532C7"/>
    <w:rsid w:val="00D53973"/>
    <w:rsid w:val="00D550DD"/>
    <w:rsid w:val="00D62F76"/>
    <w:rsid w:val="00D67232"/>
    <w:rsid w:val="00D73BE8"/>
    <w:rsid w:val="00D774DB"/>
    <w:rsid w:val="00D802AF"/>
    <w:rsid w:val="00D8078A"/>
    <w:rsid w:val="00D810B7"/>
    <w:rsid w:val="00D813B0"/>
    <w:rsid w:val="00D85EB4"/>
    <w:rsid w:val="00D907DB"/>
    <w:rsid w:val="00D96E8C"/>
    <w:rsid w:val="00DA0AA2"/>
    <w:rsid w:val="00DA3A5D"/>
    <w:rsid w:val="00DA43ED"/>
    <w:rsid w:val="00DA45CA"/>
    <w:rsid w:val="00DA4793"/>
    <w:rsid w:val="00DB2BDA"/>
    <w:rsid w:val="00DD1C81"/>
    <w:rsid w:val="00DD26F5"/>
    <w:rsid w:val="00DE1556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78F"/>
    <w:rsid w:val="00E26C41"/>
    <w:rsid w:val="00E31525"/>
    <w:rsid w:val="00E32FE3"/>
    <w:rsid w:val="00E33A66"/>
    <w:rsid w:val="00E36D14"/>
    <w:rsid w:val="00E51A7A"/>
    <w:rsid w:val="00E54047"/>
    <w:rsid w:val="00E55B74"/>
    <w:rsid w:val="00E578C3"/>
    <w:rsid w:val="00E607EA"/>
    <w:rsid w:val="00E64441"/>
    <w:rsid w:val="00E70F9C"/>
    <w:rsid w:val="00E725B6"/>
    <w:rsid w:val="00E83E29"/>
    <w:rsid w:val="00E844B6"/>
    <w:rsid w:val="00E864DC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0EBE"/>
    <w:rsid w:val="00EE1F45"/>
    <w:rsid w:val="00EF3140"/>
    <w:rsid w:val="00EF716A"/>
    <w:rsid w:val="00F05D9D"/>
    <w:rsid w:val="00F0732B"/>
    <w:rsid w:val="00F1545D"/>
    <w:rsid w:val="00F156AF"/>
    <w:rsid w:val="00F16DDF"/>
    <w:rsid w:val="00F17FE3"/>
    <w:rsid w:val="00F25914"/>
    <w:rsid w:val="00F26519"/>
    <w:rsid w:val="00F271D6"/>
    <w:rsid w:val="00F40E39"/>
    <w:rsid w:val="00F4206A"/>
    <w:rsid w:val="00F503FA"/>
    <w:rsid w:val="00F540F0"/>
    <w:rsid w:val="00F621FD"/>
    <w:rsid w:val="00F639EC"/>
    <w:rsid w:val="00F72FA3"/>
    <w:rsid w:val="00F750AF"/>
    <w:rsid w:val="00F800E1"/>
    <w:rsid w:val="00F83C21"/>
    <w:rsid w:val="00F843C3"/>
    <w:rsid w:val="00F933A7"/>
    <w:rsid w:val="00F9608F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link w:val="12"/>
    <w:uiPriority w:val="99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rsid w:val="00F17FE3"/>
    <w:rPr>
      <w:sz w:val="28"/>
      <w:szCs w:val="28"/>
    </w:rPr>
  </w:style>
  <w:style w:type="character" w:customStyle="1" w:styleId="13">
    <w:name w:val="Название Знак1"/>
    <w:basedOn w:val="a0"/>
    <w:uiPriority w:val="10"/>
    <w:rsid w:val="00F05D9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14">
    <w:name w:val="Верхний колонтитул Знак1"/>
    <w:basedOn w:val="a0"/>
    <w:uiPriority w:val="99"/>
    <w:locked/>
    <w:rsid w:val="00F05D9D"/>
    <w:rPr>
      <w:rFonts w:ascii="Calibri" w:hAnsi="Calibri"/>
      <w:sz w:val="22"/>
      <w:lang w:val="ru-RU" w:eastAsia="ar-SA" w:bidi="ar-SA"/>
    </w:rPr>
  </w:style>
  <w:style w:type="paragraph" w:styleId="af3">
    <w:name w:val="Subtitle"/>
    <w:basedOn w:val="a"/>
    <w:next w:val="af1"/>
    <w:link w:val="af4"/>
    <w:qFormat/>
    <w:rsid w:val="00287E0B"/>
    <w:pPr>
      <w:keepNext/>
      <w:widowControl/>
      <w:suppressAutoHyphens/>
      <w:autoSpaceDE/>
      <w:autoSpaceDN/>
      <w:adjustRightInd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3"/>
    <w:rsid w:val="00287E0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WW8Num1z0">
    <w:name w:val="WW8Num1z0"/>
    <w:rsid w:val="00D96E8C"/>
    <w:rPr>
      <w:sz w:val="28"/>
    </w:rPr>
  </w:style>
  <w:style w:type="character" w:customStyle="1" w:styleId="WW8Num2z0">
    <w:name w:val="WW8Num2z0"/>
    <w:rsid w:val="00D96E8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E8C"/>
    <w:rPr>
      <w:rFonts w:ascii="Courier New" w:hAnsi="Courier New"/>
    </w:rPr>
  </w:style>
  <w:style w:type="character" w:customStyle="1" w:styleId="WW8Num2z2">
    <w:name w:val="WW8Num2z2"/>
    <w:rsid w:val="00D96E8C"/>
    <w:rPr>
      <w:rFonts w:ascii="Wingdings" w:hAnsi="Wingdings"/>
    </w:rPr>
  </w:style>
  <w:style w:type="character" w:customStyle="1" w:styleId="WW8Num2z3">
    <w:name w:val="WW8Num2z3"/>
    <w:rsid w:val="00D96E8C"/>
    <w:rPr>
      <w:rFonts w:ascii="Symbol" w:hAnsi="Symbol"/>
    </w:rPr>
  </w:style>
  <w:style w:type="character" w:customStyle="1" w:styleId="15">
    <w:name w:val="Основной шрифт абзаца1"/>
    <w:rsid w:val="00D96E8C"/>
  </w:style>
  <w:style w:type="character" w:customStyle="1" w:styleId="af5">
    <w:name w:val="Основной текст с отступом Знак"/>
    <w:rsid w:val="00D96E8C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D96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rsid w:val="00D96E8C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rsid w:val="00D96E8C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rsid w:val="00D96E8C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аголовок"/>
    <w:basedOn w:val="a"/>
    <w:next w:val="af1"/>
    <w:rsid w:val="00D96E8C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1"/>
    <w:rsid w:val="00D96E8C"/>
    <w:pPr>
      <w:suppressAutoHyphens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"/>
    <w:rsid w:val="00D96E8C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hAnsi="Arial" w:cs="Tahoma"/>
      <w:i/>
      <w:iCs/>
      <w:szCs w:val="24"/>
      <w:lang w:eastAsia="ar-SA"/>
    </w:rPr>
  </w:style>
  <w:style w:type="paragraph" w:customStyle="1" w:styleId="17">
    <w:name w:val="Указатель1"/>
    <w:basedOn w:val="a"/>
    <w:rsid w:val="00D96E8C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D96E8C"/>
    <w:pPr>
      <w:widowControl/>
      <w:suppressAutoHyphens/>
      <w:autoSpaceDN/>
      <w:adjustRightInd/>
      <w:ind w:left="450" w:firstLine="810"/>
      <w:jc w:val="both"/>
    </w:pPr>
    <w:rPr>
      <w:rFonts w:cs="Calibri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D96E8C"/>
    <w:pPr>
      <w:widowControl/>
      <w:suppressAutoHyphens/>
      <w:autoSpaceDE/>
      <w:autoSpaceDN/>
      <w:adjustRightInd/>
      <w:spacing w:after="120" w:line="480" w:lineRule="auto"/>
    </w:pPr>
    <w:rPr>
      <w:rFonts w:cs="Calibri"/>
      <w:lang w:eastAsia="ar-SA"/>
    </w:rPr>
  </w:style>
  <w:style w:type="paragraph" w:customStyle="1" w:styleId="ConsPlusNonformat">
    <w:name w:val="ConsPlusNonformat"/>
    <w:rsid w:val="00D96E8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D96E8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rsid w:val="00D96E8C"/>
    <w:pPr>
      <w:widowControl/>
      <w:suppressAutoHyphens/>
      <w:autoSpaceDE/>
      <w:autoSpaceDN/>
      <w:adjustRightInd/>
      <w:jc w:val="both"/>
    </w:pPr>
    <w:rPr>
      <w:rFonts w:cs="Calibri"/>
      <w:b/>
      <w:bCs/>
      <w:sz w:val="28"/>
      <w:szCs w:val="28"/>
      <w:lang w:eastAsia="ar-SA"/>
    </w:rPr>
  </w:style>
  <w:style w:type="paragraph" w:styleId="32">
    <w:name w:val="Body Text Indent 3"/>
    <w:basedOn w:val="a"/>
    <w:link w:val="311"/>
    <w:rsid w:val="00D96E8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rsid w:val="00D96E8C"/>
    <w:rPr>
      <w:sz w:val="16"/>
      <w:szCs w:val="16"/>
    </w:rPr>
  </w:style>
  <w:style w:type="character" w:customStyle="1" w:styleId="5">
    <w:name w:val="Знак Знак5"/>
    <w:rsid w:val="00D96E8C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D96E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9">
    <w:name w:val="List Paragraph"/>
    <w:basedOn w:val="a"/>
    <w:uiPriority w:val="34"/>
    <w:qFormat/>
    <w:rsid w:val="00D96E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a">
    <w:name w:val="Hyperlink"/>
    <w:basedOn w:val="a0"/>
    <w:uiPriority w:val="99"/>
    <w:unhideWhenUsed/>
    <w:rsid w:val="00D96E8C"/>
    <w:rPr>
      <w:strike w:val="0"/>
      <w:dstrike w:val="0"/>
      <w:color w:val="666699"/>
      <w:u w:val="none"/>
      <w:effect w:val="none"/>
    </w:rPr>
  </w:style>
  <w:style w:type="character" w:customStyle="1" w:styleId="12">
    <w:name w:val="Основной текст с отступом Знак1"/>
    <w:basedOn w:val="a0"/>
    <w:link w:val="af2"/>
    <w:uiPriority w:val="99"/>
    <w:rsid w:val="00D96E8C"/>
  </w:style>
  <w:style w:type="paragraph" w:customStyle="1" w:styleId="24">
    <w:name w:val="Знак Знак2 Знак Знак Знак Знак Знак Знак Знак Знак"/>
    <w:basedOn w:val="a"/>
    <w:rsid w:val="00167770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3BE0-9640-4CB9-9DE2-6412EB8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27</cp:revision>
  <cp:lastPrinted>2017-11-21T01:45:00Z</cp:lastPrinted>
  <dcterms:created xsi:type="dcterms:W3CDTF">2017-11-17T02:11:00Z</dcterms:created>
  <dcterms:modified xsi:type="dcterms:W3CDTF">2020-03-23T06:29:00Z</dcterms:modified>
</cp:coreProperties>
</file>